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9" w:rsidRDefault="00EF02D9" w:rsidP="00EF02D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8134985</wp:posOffset>
                </wp:positionH>
                <wp:positionV relativeFrom="paragraph">
                  <wp:posOffset>-344805</wp:posOffset>
                </wp:positionV>
                <wp:extent cx="434340" cy="284480"/>
                <wp:effectExtent l="635" t="0" r="3175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2D9" w:rsidRDefault="00EF02D9" w:rsidP="00EF02D9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40.55pt;margin-top:-27.15pt;width:34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G9gAIAAA4FAAAOAAAAZHJzL2Uyb0RvYy54bWysVG1v2yAQ/j5p/wHxPfXLnDS26lRtskyT&#10;uhep3Q8ggGM0DAxI7G7af9+BkzTrNmma5kgE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eIV/MBCwZTPi2IemUtIdTxsrPNvuO5QmNTYAvER&#10;nOzvnA/BkOroEu5yWgq2FlLGhd1ultKiPQGRrOMX43/mJlVwVjocGxHHHYgR7gi2EG0k/VuZ5UV6&#10;m5eT9Wx+OSnWxXRSXqbzSZqVt+UsLcpitf4eAsyKqhWMcXUnFD8KMCv+juBDK4zSiRJEfY3LaT4d&#10;Gfpjkmn8fpdkJzz0oxRdjecnJ1IFXl8rBmmTyhMhx3nyc/ixylCD43+sSlRBIH6UgB82A6AEaWw0&#10;ewQ9WA18AbXwiMCk1fYrRj00ZI3dlx2xHCP5VoGmyqwICvBxUUwvc1jYc8vm3EIUBagae4zG6dKP&#10;Xb8zVmxbuGlUsdI3oMNGRI08RXVQLzRdTObwQISuPl9Hr6dnbPEDAAD//wMAUEsDBBQABgAIAAAA&#10;IQDTGVtW4AAAAAwBAAAPAAAAZHJzL2Rvd25yZXYueG1sTI/NboMwEITvlfoO1lbqpUoMCeSHYqK2&#10;Uqtek+YBFrwBVGwj7ATy9t2cmtNqdkez3+S7yXTiQoNvnVUQzyMQZCunW1srOP58zjYgfECrsXOW&#10;FFzJw654fMgx0260e7ocQi04xPoMFTQh9JmUvmrIoJ+7nizfTm4wGFgOtdQDjhxuOrmIopU02Fr+&#10;0GBPHw1Vv4ezUXD6Hl/S7Vh+heN6n6zesV2X7qrU89P09goi0BT+zXDDZ3QomKl0Z6u96FgvNnHM&#10;XgWzNFmCuFmWyTYFUfKKpyxyeV+i+AMAAP//AwBQSwECLQAUAAYACAAAACEAtoM4kv4AAADhAQAA&#10;EwAAAAAAAAAAAAAAAAAAAAAAW0NvbnRlbnRfVHlwZXNdLnhtbFBLAQItABQABgAIAAAAIQA4/SH/&#10;1gAAAJQBAAALAAAAAAAAAAAAAAAAAC8BAABfcmVscy8ucmVsc1BLAQItABQABgAIAAAAIQDP0RG9&#10;gAIAAA4FAAAOAAAAAAAAAAAAAAAAAC4CAABkcnMvZTJvRG9jLnhtbFBLAQItABQABgAIAAAAIQDT&#10;GVtW4AAAAAwBAAAPAAAAAAAAAAAAAAAAANoEAABkcnMvZG93bnJldi54bWxQSwUGAAAAAAQABADz&#10;AAAA5wUAAAAA&#10;" stroked="f">
                <v:textbox>
                  <w:txbxContent>
                    <w:p w:rsidR="00EF02D9" w:rsidRDefault="00EF02D9" w:rsidP="00EF02D9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N</w:t>
      </w:r>
      <w:r w:rsidRPr="001357C3">
        <w:rPr>
          <w:b/>
          <w:bCs/>
          <w:sz w:val="20"/>
          <w:szCs w:val="20"/>
        </w:rPr>
        <w:t>ATIONAL TRUST</w:t>
      </w:r>
    </w:p>
    <w:p w:rsidR="00EF02D9" w:rsidRDefault="00EF02D9" w:rsidP="00EF02D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THE WELFARE OF PERSONS WITH AUTISM, CEREBRAL PALSY</w:t>
      </w:r>
    </w:p>
    <w:p w:rsidR="00EF02D9" w:rsidRPr="001357C3" w:rsidRDefault="00EF02D9" w:rsidP="00EF02D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MENTAL RETARDATION &amp; MULTIPLE DISABILITIES</w:t>
      </w:r>
    </w:p>
    <w:p w:rsidR="00EF02D9" w:rsidRPr="001357C3" w:rsidRDefault="00EF02D9" w:rsidP="00EF02D9">
      <w:pPr>
        <w:jc w:val="center"/>
        <w:rPr>
          <w:b/>
          <w:bCs/>
          <w:sz w:val="20"/>
          <w:szCs w:val="20"/>
        </w:rPr>
      </w:pPr>
      <w:r w:rsidRPr="001357C3">
        <w:rPr>
          <w:b/>
          <w:bCs/>
          <w:sz w:val="20"/>
          <w:szCs w:val="20"/>
        </w:rPr>
        <w:t>(MINISTRY OF SOCIAL JUSTICE &amp; EMPOWERMENT</w:t>
      </w:r>
      <w:r>
        <w:rPr>
          <w:b/>
          <w:bCs/>
          <w:sz w:val="20"/>
          <w:szCs w:val="20"/>
        </w:rPr>
        <w:t>, GOVT. OF INDIA</w:t>
      </w:r>
      <w:r w:rsidRPr="001357C3">
        <w:rPr>
          <w:b/>
          <w:bCs/>
          <w:sz w:val="20"/>
          <w:szCs w:val="20"/>
        </w:rPr>
        <w:t>)</w:t>
      </w:r>
    </w:p>
    <w:p w:rsidR="00EF02D9" w:rsidRPr="001357C3" w:rsidRDefault="00EF02D9" w:rsidP="00EF02D9">
      <w:pPr>
        <w:jc w:val="center"/>
        <w:rPr>
          <w:b/>
          <w:bCs/>
          <w:sz w:val="20"/>
          <w:szCs w:val="20"/>
        </w:rPr>
      </w:pPr>
      <w:proofErr w:type="gramStart"/>
      <w:r w:rsidRPr="001357C3">
        <w:rPr>
          <w:b/>
          <w:bCs/>
          <w:sz w:val="20"/>
          <w:szCs w:val="20"/>
        </w:rPr>
        <w:t>16-B, B</w:t>
      </w:r>
      <w:r>
        <w:rPr>
          <w:b/>
          <w:bCs/>
          <w:sz w:val="20"/>
          <w:szCs w:val="20"/>
        </w:rPr>
        <w:t>ADA</w:t>
      </w:r>
      <w:r w:rsidRPr="001357C3"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AZAR</w:t>
      </w:r>
      <w:r w:rsidRPr="001357C3">
        <w:rPr>
          <w:b/>
          <w:bCs/>
          <w:sz w:val="20"/>
          <w:szCs w:val="20"/>
        </w:rPr>
        <w:t xml:space="preserve"> R</w:t>
      </w:r>
      <w:r>
        <w:rPr>
          <w:b/>
          <w:bCs/>
          <w:sz w:val="20"/>
          <w:szCs w:val="20"/>
        </w:rPr>
        <w:t>OAD</w:t>
      </w:r>
      <w:r w:rsidRPr="001357C3">
        <w:rPr>
          <w:b/>
          <w:bCs/>
          <w:sz w:val="20"/>
          <w:szCs w:val="20"/>
        </w:rPr>
        <w:t>, O</w:t>
      </w:r>
      <w:r>
        <w:rPr>
          <w:b/>
          <w:bCs/>
          <w:sz w:val="20"/>
          <w:szCs w:val="20"/>
        </w:rPr>
        <w:t>LD</w:t>
      </w:r>
      <w:r w:rsidRPr="001357C3">
        <w:rPr>
          <w:b/>
          <w:bCs/>
          <w:sz w:val="20"/>
          <w:szCs w:val="20"/>
        </w:rPr>
        <w:t xml:space="preserve"> R</w:t>
      </w:r>
      <w:r>
        <w:rPr>
          <w:b/>
          <w:bCs/>
          <w:sz w:val="20"/>
          <w:szCs w:val="20"/>
        </w:rPr>
        <w:t>AJINDER</w:t>
      </w:r>
      <w:r w:rsidRPr="001357C3">
        <w:rPr>
          <w:b/>
          <w:bCs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AGAR</w:t>
      </w:r>
      <w:r w:rsidRPr="001357C3">
        <w:rPr>
          <w:b/>
          <w:bCs/>
          <w:sz w:val="20"/>
          <w:szCs w:val="20"/>
        </w:rPr>
        <w:t>, N</w:t>
      </w:r>
      <w:r>
        <w:rPr>
          <w:b/>
          <w:bCs/>
          <w:sz w:val="20"/>
          <w:szCs w:val="20"/>
        </w:rPr>
        <w:t>EW</w:t>
      </w:r>
      <w:r w:rsidRPr="001357C3">
        <w:rPr>
          <w:b/>
          <w:bCs/>
          <w:sz w:val="20"/>
          <w:szCs w:val="20"/>
        </w:rPr>
        <w:t xml:space="preserve"> D</w:t>
      </w:r>
      <w:r>
        <w:rPr>
          <w:b/>
          <w:bCs/>
          <w:sz w:val="20"/>
          <w:szCs w:val="20"/>
        </w:rPr>
        <w:t>ELHI</w:t>
      </w:r>
      <w:r w:rsidRPr="001357C3">
        <w:rPr>
          <w:b/>
          <w:bCs/>
          <w:sz w:val="20"/>
          <w:szCs w:val="20"/>
        </w:rPr>
        <w:t>- 110 060.</w:t>
      </w:r>
      <w:proofErr w:type="gramEnd"/>
    </w:p>
    <w:p w:rsidR="00EF02D9" w:rsidRDefault="00EF02D9" w:rsidP="00EF02D9">
      <w:pPr>
        <w:jc w:val="center"/>
        <w:rPr>
          <w:b/>
          <w:bCs/>
          <w:sz w:val="20"/>
          <w:szCs w:val="20"/>
          <w:u w:val="single"/>
        </w:rPr>
      </w:pPr>
    </w:p>
    <w:p w:rsidR="00EF02D9" w:rsidRPr="001357C3" w:rsidRDefault="00EF02D9" w:rsidP="00EF02D9">
      <w:pPr>
        <w:jc w:val="center"/>
        <w:rPr>
          <w:sz w:val="20"/>
          <w:szCs w:val="20"/>
          <w:u w:val="single"/>
        </w:rPr>
      </w:pPr>
      <w:r w:rsidRPr="001357C3">
        <w:rPr>
          <w:b/>
          <w:bCs/>
          <w:sz w:val="20"/>
          <w:szCs w:val="20"/>
          <w:u w:val="single"/>
        </w:rPr>
        <w:t>SCHEDULE –</w:t>
      </w:r>
      <w:proofErr w:type="gramStart"/>
      <w:r>
        <w:rPr>
          <w:b/>
          <w:bCs/>
          <w:sz w:val="20"/>
          <w:szCs w:val="20"/>
          <w:u w:val="single"/>
        </w:rPr>
        <w:t xml:space="preserve">24 </w:t>
      </w:r>
      <w:r w:rsidRPr="001357C3">
        <w:rPr>
          <w:b/>
          <w:bCs/>
          <w:sz w:val="20"/>
          <w:szCs w:val="20"/>
          <w:u w:val="single"/>
        </w:rPr>
        <w:t xml:space="preserve"> :</w:t>
      </w:r>
      <w:proofErr w:type="gramEnd"/>
      <w:r w:rsidRPr="001357C3">
        <w:rPr>
          <w:b/>
          <w:bCs/>
          <w:sz w:val="20"/>
          <w:szCs w:val="20"/>
          <w:u w:val="single"/>
        </w:rPr>
        <w:t xml:space="preserve"> FORMING PART OF BALANCE SHEET AS AT 31</w:t>
      </w:r>
      <w:r w:rsidRPr="001357C3">
        <w:rPr>
          <w:b/>
          <w:bCs/>
          <w:sz w:val="20"/>
          <w:szCs w:val="20"/>
          <w:u w:val="single"/>
          <w:vertAlign w:val="superscript"/>
        </w:rPr>
        <w:t>ST</w:t>
      </w:r>
      <w:r w:rsidRPr="001357C3">
        <w:rPr>
          <w:b/>
          <w:bCs/>
          <w:sz w:val="20"/>
          <w:szCs w:val="20"/>
          <w:u w:val="single"/>
        </w:rPr>
        <w:t xml:space="preserve"> MARCH 20</w:t>
      </w:r>
      <w:r>
        <w:rPr>
          <w:b/>
          <w:bCs/>
          <w:sz w:val="20"/>
          <w:szCs w:val="20"/>
          <w:u w:val="single"/>
        </w:rPr>
        <w:t>21</w:t>
      </w:r>
    </w:p>
    <w:p w:rsidR="00EF02D9" w:rsidRPr="001357C3" w:rsidRDefault="00EF02D9" w:rsidP="00EF02D9">
      <w:pPr>
        <w:pStyle w:val="BodyText"/>
        <w:rPr>
          <w:sz w:val="20"/>
          <w:szCs w:val="20"/>
        </w:rPr>
      </w:pPr>
    </w:p>
    <w:p w:rsidR="00EF02D9" w:rsidRPr="001357C3" w:rsidRDefault="00EF02D9" w:rsidP="00EF02D9">
      <w:pPr>
        <w:pStyle w:val="BodyText"/>
        <w:rPr>
          <w:sz w:val="20"/>
          <w:szCs w:val="20"/>
        </w:rPr>
      </w:pPr>
      <w:r w:rsidRPr="001357C3">
        <w:rPr>
          <w:sz w:val="20"/>
          <w:szCs w:val="20"/>
        </w:rPr>
        <w:t xml:space="preserve">SCHEDULE 24 – SIGNIFICANT ACCOUNTING </w:t>
      </w:r>
      <w:proofErr w:type="gramStart"/>
      <w:r w:rsidRPr="001357C3">
        <w:rPr>
          <w:sz w:val="20"/>
          <w:szCs w:val="20"/>
        </w:rPr>
        <w:t>POLICIES :</w:t>
      </w:r>
      <w:proofErr w:type="gramEnd"/>
    </w:p>
    <w:p w:rsidR="00EF02D9" w:rsidRPr="00DF1B19" w:rsidRDefault="00EF02D9" w:rsidP="00EF02D9">
      <w:pPr>
        <w:ind w:left="1440"/>
        <w:jc w:val="both"/>
      </w:pPr>
    </w:p>
    <w:p w:rsidR="00EF02D9" w:rsidRPr="009A391F" w:rsidRDefault="00EF02D9" w:rsidP="00EF02D9">
      <w:pPr>
        <w:numPr>
          <w:ilvl w:val="1"/>
          <w:numId w:val="3"/>
        </w:numPr>
        <w:tabs>
          <w:tab w:val="clear" w:pos="1800"/>
          <w:tab w:val="num" w:pos="1260"/>
        </w:tabs>
        <w:ind w:left="2160"/>
        <w:jc w:val="both"/>
      </w:pPr>
      <w:r>
        <w:rPr>
          <w:b/>
          <w:bCs/>
          <w:u w:val="single"/>
        </w:rPr>
        <w:t>ACCOUNTING CONVENTION</w:t>
      </w:r>
      <w:r>
        <w:rPr>
          <w:b/>
          <w:bCs/>
        </w:rPr>
        <w:t>:</w:t>
      </w:r>
    </w:p>
    <w:p w:rsidR="00EF02D9" w:rsidRPr="006C2A1C" w:rsidRDefault="00EF02D9" w:rsidP="00EF02D9">
      <w:pPr>
        <w:ind w:left="2160"/>
        <w:jc w:val="both"/>
        <w:rPr>
          <w:sz w:val="22"/>
          <w:szCs w:val="22"/>
        </w:rPr>
      </w:pPr>
      <w:r w:rsidRPr="006C2A1C">
        <w:rPr>
          <w:sz w:val="22"/>
          <w:szCs w:val="22"/>
        </w:rPr>
        <w:t xml:space="preserve">The financial statements are prepared on the basis of historical cost convention, unless otherwise stated and on </w:t>
      </w:r>
      <w:r w:rsidRPr="0041196E">
        <w:rPr>
          <w:bCs/>
          <w:sz w:val="22"/>
          <w:szCs w:val="22"/>
        </w:rPr>
        <w:t>the</w:t>
      </w:r>
      <w:r w:rsidRPr="006C2A1C">
        <w:rPr>
          <w:b/>
          <w:bCs/>
          <w:sz w:val="22"/>
          <w:szCs w:val="22"/>
        </w:rPr>
        <w:t xml:space="preserve"> </w:t>
      </w:r>
      <w:r w:rsidRPr="006C2A1C">
        <w:rPr>
          <w:bCs/>
          <w:sz w:val="22"/>
          <w:szCs w:val="22"/>
        </w:rPr>
        <w:t>accrual method of</w:t>
      </w:r>
      <w:r w:rsidRPr="006C2A1C">
        <w:rPr>
          <w:b/>
          <w:bCs/>
          <w:sz w:val="22"/>
          <w:szCs w:val="22"/>
        </w:rPr>
        <w:t xml:space="preserve"> </w:t>
      </w:r>
      <w:r w:rsidRPr="006C2A1C">
        <w:rPr>
          <w:bCs/>
          <w:sz w:val="22"/>
          <w:szCs w:val="22"/>
        </w:rPr>
        <w:t>accounting</w:t>
      </w:r>
      <w:r w:rsidRPr="006C2A1C">
        <w:rPr>
          <w:sz w:val="22"/>
          <w:szCs w:val="22"/>
        </w:rPr>
        <w:t>.</w:t>
      </w:r>
    </w:p>
    <w:p w:rsidR="00EF02D9" w:rsidRPr="008D08A9" w:rsidRDefault="00EF02D9" w:rsidP="00EF02D9">
      <w:pPr>
        <w:tabs>
          <w:tab w:val="num" w:pos="1440"/>
        </w:tabs>
        <w:ind w:left="1440"/>
        <w:jc w:val="both"/>
      </w:pPr>
    </w:p>
    <w:p w:rsidR="00EF02D9" w:rsidRDefault="00EF02D9" w:rsidP="00EF02D9">
      <w:pPr>
        <w:numPr>
          <w:ilvl w:val="1"/>
          <w:numId w:val="3"/>
        </w:numPr>
        <w:tabs>
          <w:tab w:val="clear" w:pos="1800"/>
          <w:tab w:val="num" w:pos="1440"/>
        </w:tabs>
        <w:ind w:left="1440" w:firstLine="0"/>
        <w:jc w:val="both"/>
      </w:pPr>
      <w:r>
        <w:rPr>
          <w:b/>
          <w:bCs/>
          <w:u w:val="single"/>
        </w:rPr>
        <w:t>INVENTORY VALUATION</w:t>
      </w:r>
      <w:r>
        <w:rPr>
          <w:rStyle w:val="Emphasis"/>
        </w:rPr>
        <w:t xml:space="preserve">   </w:t>
      </w:r>
    </w:p>
    <w:p w:rsidR="00EF02D9" w:rsidRPr="006C2A1C" w:rsidRDefault="00EF02D9" w:rsidP="00EF02D9">
      <w:pPr>
        <w:numPr>
          <w:ilvl w:val="1"/>
          <w:numId w:val="6"/>
        </w:numPr>
        <w:ind w:hanging="480"/>
        <w:jc w:val="both"/>
        <w:rPr>
          <w:sz w:val="22"/>
          <w:szCs w:val="22"/>
        </w:rPr>
      </w:pPr>
      <w:r w:rsidRPr="006C2A1C">
        <w:rPr>
          <w:sz w:val="22"/>
          <w:szCs w:val="22"/>
        </w:rPr>
        <w:t>Stores and Spares</w:t>
      </w:r>
      <w:r>
        <w:rPr>
          <w:sz w:val="22"/>
          <w:szCs w:val="22"/>
        </w:rPr>
        <w:t>, if any,</w:t>
      </w:r>
      <w:r w:rsidRPr="006C2A1C">
        <w:rPr>
          <w:sz w:val="22"/>
          <w:szCs w:val="22"/>
        </w:rPr>
        <w:t xml:space="preserve"> are valued at cost.</w:t>
      </w:r>
    </w:p>
    <w:p w:rsidR="00EF02D9" w:rsidRPr="006C2A1C" w:rsidRDefault="00EF02D9" w:rsidP="00EF02D9">
      <w:pPr>
        <w:numPr>
          <w:ilvl w:val="1"/>
          <w:numId w:val="6"/>
        </w:numPr>
        <w:ind w:hanging="480"/>
        <w:jc w:val="both"/>
        <w:rPr>
          <w:sz w:val="22"/>
          <w:szCs w:val="22"/>
        </w:rPr>
      </w:pPr>
      <w:r w:rsidRPr="006C2A1C">
        <w:rPr>
          <w:sz w:val="22"/>
          <w:szCs w:val="22"/>
        </w:rPr>
        <w:t xml:space="preserve">Raw materials, semi-finished goods and finished goods are valued at lower of cost and net realizable value.  The costs are based on weighted average cost.  Cost of finished goods and semi-finished goods is determined by considering material, </w:t>
      </w:r>
      <w:proofErr w:type="spellStart"/>
      <w:r w:rsidRPr="006C2A1C">
        <w:rPr>
          <w:sz w:val="22"/>
          <w:szCs w:val="22"/>
        </w:rPr>
        <w:t>labour</w:t>
      </w:r>
      <w:proofErr w:type="spellEnd"/>
      <w:r w:rsidRPr="006C2A1C">
        <w:rPr>
          <w:sz w:val="22"/>
          <w:szCs w:val="22"/>
        </w:rPr>
        <w:t xml:space="preserve"> and related overheads.</w:t>
      </w:r>
    </w:p>
    <w:p w:rsidR="00EF02D9" w:rsidRDefault="00EF02D9" w:rsidP="00EF02D9">
      <w:pPr>
        <w:tabs>
          <w:tab w:val="num" w:pos="1440"/>
        </w:tabs>
        <w:ind w:left="1440"/>
        <w:jc w:val="both"/>
      </w:pPr>
      <w:bookmarkStart w:id="0" w:name="_GoBack"/>
      <w:bookmarkEnd w:id="0"/>
    </w:p>
    <w:p w:rsidR="00EF02D9" w:rsidRDefault="00EF02D9" w:rsidP="00EF02D9">
      <w:pPr>
        <w:numPr>
          <w:ilvl w:val="1"/>
          <w:numId w:val="3"/>
        </w:numPr>
        <w:tabs>
          <w:tab w:val="clear" w:pos="1800"/>
          <w:tab w:val="num" w:pos="1440"/>
        </w:tabs>
        <w:ind w:left="1440" w:firstLine="0"/>
        <w:jc w:val="both"/>
      </w:pPr>
      <w:r>
        <w:rPr>
          <w:b/>
          <w:bCs/>
          <w:u w:val="single"/>
        </w:rPr>
        <w:t>INVESTMENTS</w:t>
      </w:r>
    </w:p>
    <w:p w:rsidR="00EF02D9" w:rsidRPr="006C2A1C" w:rsidRDefault="00EF02D9" w:rsidP="00EF02D9">
      <w:pPr>
        <w:numPr>
          <w:ilvl w:val="1"/>
          <w:numId w:val="4"/>
        </w:numPr>
        <w:tabs>
          <w:tab w:val="clear" w:pos="1500"/>
          <w:tab w:val="num" w:pos="2160"/>
        </w:tabs>
        <w:ind w:left="2160" w:hanging="540"/>
        <w:jc w:val="both"/>
        <w:rPr>
          <w:sz w:val="22"/>
          <w:szCs w:val="22"/>
        </w:rPr>
      </w:pPr>
      <w:r w:rsidRPr="006C2A1C">
        <w:rPr>
          <w:sz w:val="22"/>
          <w:szCs w:val="22"/>
        </w:rPr>
        <w:t xml:space="preserve">Investments classified as “long term investments” are carried at cost.  Provision for decline, other than temporary, is made in carrying cost of </w:t>
      </w:r>
      <w:r>
        <w:rPr>
          <w:sz w:val="22"/>
          <w:szCs w:val="22"/>
        </w:rPr>
        <w:t>such investments, if any.</w:t>
      </w:r>
    </w:p>
    <w:p w:rsidR="00EF02D9" w:rsidRPr="006C2A1C" w:rsidRDefault="00EF02D9" w:rsidP="00EF02D9">
      <w:pPr>
        <w:numPr>
          <w:ilvl w:val="1"/>
          <w:numId w:val="4"/>
        </w:numPr>
        <w:tabs>
          <w:tab w:val="clear" w:pos="1500"/>
          <w:tab w:val="num" w:pos="2160"/>
        </w:tabs>
        <w:ind w:left="2160" w:hanging="540"/>
        <w:jc w:val="both"/>
        <w:rPr>
          <w:sz w:val="22"/>
          <w:szCs w:val="22"/>
        </w:rPr>
      </w:pPr>
      <w:r w:rsidRPr="006C2A1C">
        <w:rPr>
          <w:sz w:val="22"/>
          <w:szCs w:val="22"/>
        </w:rPr>
        <w:t>Investments classified as “Current” are carried at lower of cost and fair value.  Provision for shortfall on the value of such investments is made for each investment considered individ</w:t>
      </w:r>
      <w:r>
        <w:rPr>
          <w:sz w:val="22"/>
          <w:szCs w:val="22"/>
        </w:rPr>
        <w:t>ually and not on a global basis, if any.</w:t>
      </w:r>
    </w:p>
    <w:p w:rsidR="00EF02D9" w:rsidRPr="006C2A1C" w:rsidRDefault="00EF02D9" w:rsidP="00EF02D9">
      <w:pPr>
        <w:numPr>
          <w:ilvl w:val="1"/>
          <w:numId w:val="4"/>
        </w:numPr>
        <w:tabs>
          <w:tab w:val="clear" w:pos="1500"/>
          <w:tab w:val="num" w:pos="2160"/>
        </w:tabs>
        <w:ind w:left="2160" w:hanging="540"/>
        <w:jc w:val="both"/>
        <w:rPr>
          <w:sz w:val="22"/>
          <w:szCs w:val="22"/>
        </w:rPr>
      </w:pPr>
      <w:r w:rsidRPr="006C2A1C">
        <w:rPr>
          <w:sz w:val="22"/>
          <w:szCs w:val="22"/>
        </w:rPr>
        <w:t>Cost includes acquisition expenses like brokerage, transfer stamps.</w:t>
      </w:r>
    </w:p>
    <w:p w:rsidR="00EF02D9" w:rsidRDefault="00EF02D9" w:rsidP="00EF02D9">
      <w:pPr>
        <w:tabs>
          <w:tab w:val="num" w:pos="1440"/>
        </w:tabs>
        <w:ind w:left="1440"/>
        <w:jc w:val="both"/>
        <w:rPr>
          <w:b/>
          <w:bCs/>
          <w:u w:val="single"/>
        </w:rPr>
      </w:pPr>
    </w:p>
    <w:p w:rsidR="00EF02D9" w:rsidRDefault="00EF02D9" w:rsidP="00EF02D9">
      <w:pPr>
        <w:numPr>
          <w:ilvl w:val="1"/>
          <w:numId w:val="3"/>
        </w:numPr>
        <w:tabs>
          <w:tab w:val="clear" w:pos="1800"/>
          <w:tab w:val="num" w:pos="1440"/>
        </w:tabs>
        <w:ind w:left="1440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EXCISE DUTY</w:t>
      </w:r>
    </w:p>
    <w:p w:rsidR="00EF02D9" w:rsidRPr="006C2A1C" w:rsidRDefault="00EF02D9" w:rsidP="00EF02D9">
      <w:pPr>
        <w:pStyle w:val="BodyTextIndent2"/>
        <w:tabs>
          <w:tab w:val="num" w:pos="1260"/>
        </w:tabs>
        <w:ind w:left="2160"/>
        <w:jc w:val="both"/>
        <w:rPr>
          <w:sz w:val="22"/>
          <w:szCs w:val="22"/>
        </w:rPr>
      </w:pPr>
      <w:r w:rsidRPr="006C2A1C">
        <w:rPr>
          <w:sz w:val="22"/>
          <w:szCs w:val="22"/>
        </w:rPr>
        <w:t>Liability for excise duty in respect of goods produced by the entity, other than for exports, is accounted upon completion of manufacture and provision is made for excisable manufa</w:t>
      </w:r>
      <w:r>
        <w:rPr>
          <w:sz w:val="22"/>
          <w:szCs w:val="22"/>
        </w:rPr>
        <w:t>ctured goods as at the year end, if any.</w:t>
      </w:r>
    </w:p>
    <w:p w:rsidR="00EF02D9" w:rsidRDefault="00EF02D9" w:rsidP="00EF02D9">
      <w:pPr>
        <w:tabs>
          <w:tab w:val="num" w:pos="1440"/>
        </w:tabs>
        <w:ind w:left="1440"/>
        <w:jc w:val="both"/>
        <w:rPr>
          <w:b/>
          <w:bCs/>
        </w:rPr>
      </w:pPr>
    </w:p>
    <w:p w:rsidR="00EF02D9" w:rsidRPr="008D08A9" w:rsidRDefault="00EF02D9" w:rsidP="00EF02D9">
      <w:pPr>
        <w:tabs>
          <w:tab w:val="num" w:pos="1440"/>
        </w:tabs>
        <w:ind w:left="1440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  <w:u w:val="single"/>
        </w:rPr>
        <w:t>FIXED ASSETS</w:t>
      </w:r>
    </w:p>
    <w:p w:rsidR="00EF02D9" w:rsidRPr="006C2A1C" w:rsidRDefault="00EF02D9" w:rsidP="00EF02D9">
      <w:pPr>
        <w:pStyle w:val="BodyTextIndent3"/>
        <w:ind w:left="2160" w:hanging="540"/>
        <w:jc w:val="both"/>
        <w:rPr>
          <w:sz w:val="22"/>
          <w:szCs w:val="22"/>
        </w:rPr>
      </w:pPr>
      <w:proofErr w:type="gramStart"/>
      <w:r w:rsidRPr="006C2A1C">
        <w:rPr>
          <w:sz w:val="22"/>
          <w:szCs w:val="22"/>
        </w:rPr>
        <w:t>5.1  Fixed</w:t>
      </w:r>
      <w:proofErr w:type="gramEnd"/>
      <w:r w:rsidRPr="006C2A1C">
        <w:rPr>
          <w:sz w:val="22"/>
          <w:szCs w:val="22"/>
        </w:rPr>
        <w:t xml:space="preserve"> Assets are stated at cost of acquisition inclusive of inward freight, duties and taxes and incidental and direct expenses related to acquisition. In respect of projects involving construction,</w:t>
      </w:r>
      <w:r>
        <w:rPr>
          <w:sz w:val="22"/>
          <w:szCs w:val="22"/>
        </w:rPr>
        <w:t xml:space="preserve"> if any, the</w:t>
      </w:r>
      <w:r w:rsidRPr="006C2A1C">
        <w:rPr>
          <w:sz w:val="22"/>
          <w:szCs w:val="22"/>
        </w:rPr>
        <w:t xml:space="preserve"> related pre-operational expenses (including interest on loans for specific project prior to its completion), </w:t>
      </w:r>
      <w:proofErr w:type="gramStart"/>
      <w:r w:rsidRPr="006C2A1C">
        <w:rPr>
          <w:sz w:val="22"/>
          <w:szCs w:val="22"/>
        </w:rPr>
        <w:t>form</w:t>
      </w:r>
      <w:proofErr w:type="gramEnd"/>
      <w:r w:rsidRPr="006C2A1C">
        <w:rPr>
          <w:sz w:val="22"/>
          <w:szCs w:val="22"/>
        </w:rPr>
        <w:t xml:space="preserve"> part of the value of the assets capitalized.</w:t>
      </w:r>
    </w:p>
    <w:p w:rsidR="00EF02D9" w:rsidRDefault="00EF02D9" w:rsidP="00EF02D9">
      <w:pPr>
        <w:tabs>
          <w:tab w:val="num" w:pos="1440"/>
        </w:tabs>
        <w:ind w:left="1440"/>
        <w:jc w:val="both"/>
      </w:pPr>
      <w:r>
        <w:t xml:space="preserve">    </w:t>
      </w:r>
    </w:p>
    <w:p w:rsidR="00EF02D9" w:rsidRPr="006C2A1C" w:rsidRDefault="00B9502F" w:rsidP="00EF02D9">
      <w:pPr>
        <w:tabs>
          <w:tab w:val="num" w:pos="1080"/>
        </w:tabs>
        <w:ind w:left="2160" w:hanging="720"/>
        <w:jc w:val="both"/>
        <w:rPr>
          <w:sz w:val="22"/>
          <w:szCs w:val="22"/>
        </w:rPr>
      </w:pPr>
      <w:r>
        <w:rPr>
          <w:b/>
          <w:bCs/>
          <w:noProof/>
          <w:u w:val="single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3A05" wp14:editId="1EB6A54A">
                <wp:simplePos x="0" y="0"/>
                <wp:positionH relativeFrom="column">
                  <wp:posOffset>8289985</wp:posOffset>
                </wp:positionH>
                <wp:positionV relativeFrom="paragraph">
                  <wp:posOffset>-319177</wp:posOffset>
                </wp:positionV>
                <wp:extent cx="434340" cy="284480"/>
                <wp:effectExtent l="0" t="0" r="381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2D9" w:rsidRDefault="00EF02D9" w:rsidP="00EF02D9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52.75pt;margin-top:-25.15pt;width:34.2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k1gwIAABUFAAAOAAAAZHJzL2Uyb0RvYy54bWysVG1v2yAQ/j5p/wHxPfXLSBtbcaomXaZJ&#10;3YvU7gcQg2M0DAxI7G7af9+BkzTrNmma5kgE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BCNFO6DogQ8eLfWASKhOb1wJTvcG3PwA28ByzNSZO11/dkjpVUvVlt9Yq/uWUwbRZeFkcnZ0xHEB&#10;ZNO/0wyuoTuvI9DQ2C6UDoqBAB1YejwxE0KpYZO8gh9YajDlM0JmkbmElsfDxjr/husOhUmFLRAf&#10;wen+zvkQDC2PLuEup6VgayFlXNjtZiUt2lMQyTp+Mf5nblIFZ6XDsRFx3IEY4Y5gC9FG0r8VWU7S&#10;ZV5M1pezqwlZk+mkuEpnkzQrlsVlSgpyu/4eAsxI2QrGuLoTih8FmJG/I/jQCqN0ogRRX+Fimk9H&#10;hv6YZBq/3yXZCQ/9KEVX4dnJiZaB19eKQdq09FTIcZ78HH6sMtTg+B+rElUQiB8l4IfNEOUWJRIU&#10;stHsEWRhNdAGDMNbApNW268Y9dCXFXZfdtRyjORbBdIqMhKE4OOCTK9yWNhzy+bcQlUNUBX2GI3T&#10;lR+bf2es2LZw0yhmpW9Ajo2IUnmK6iBi6L2Y0+GdCM19vo5eT6/Z4gcAAAD//wMAUEsDBBQABgAI&#10;AAAAIQBoEbY13wAAAAwBAAAPAAAAZHJzL2Rvd25yZXYueG1sTI9BTsMwEEX3SNzBmkpsUGtDcEND&#10;nAqQQGxbeoBJ7CZR43EUu016e5wVXf6Zpz9v8u1kO3Yxg28dKXhaCWCGKqdbqhUcfr+Wr8B8QNLY&#10;OTIKrsbDtri/yzHTbqSduexDzWIJ+QwVNCH0Gee+aoxFv3K9obg7usFiiHGouR5wjOW2489CrLnF&#10;luKFBnvz2ZjqtD9bBcef8VFuxvI7HNLdy/oD27R0V6UeFtP7G7BgpvAPw6wf1aGITqU7k/asizkR&#10;UkZWwVKKBNiMJGmyAVbOIwm8yPntE8UfAAAA//8DAFBLAQItABQABgAIAAAAIQC2gziS/gAAAOEB&#10;AAATAAAAAAAAAAAAAAAAAAAAAABbQ29udGVudF9UeXBlc10ueG1sUEsBAi0AFAAGAAgAAAAhADj9&#10;If/WAAAAlAEAAAsAAAAAAAAAAAAAAAAALwEAAF9yZWxzLy5yZWxzUEsBAi0AFAAGAAgAAAAhABOE&#10;CTWDAgAAFQUAAA4AAAAAAAAAAAAAAAAALgIAAGRycy9lMm9Eb2MueG1sUEsBAi0AFAAGAAgAAAAh&#10;AGgRtjXfAAAADAEAAA8AAAAAAAAAAAAAAAAA3QQAAGRycy9kb3ducmV2LnhtbFBLBQYAAAAABAAE&#10;APMAAADpBQAAAAA=&#10;" stroked="f">
                <v:textbox>
                  <w:txbxContent>
                    <w:p w:rsidR="00EF02D9" w:rsidRDefault="00EF02D9" w:rsidP="00EF02D9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EF02D9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5A0D2" wp14:editId="3487586E">
                <wp:simplePos x="0" y="0"/>
                <wp:positionH relativeFrom="column">
                  <wp:posOffset>8244205</wp:posOffset>
                </wp:positionH>
                <wp:positionV relativeFrom="paragraph">
                  <wp:posOffset>-319405</wp:posOffset>
                </wp:positionV>
                <wp:extent cx="434340" cy="284480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2D9" w:rsidRDefault="00EF02D9" w:rsidP="00EF02D9"/>
                          <w:p w:rsidR="00EF02D9" w:rsidRDefault="00EF02D9" w:rsidP="00EF0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49.15pt;margin-top:-25.15pt;width:34.2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NzhAIAABUFAAAOAAAAZHJzL2Uyb0RvYy54bWysVG1v0zAQ/o7Ef7D8vcsL6dZESye2UYQ0&#10;XqSNH+DaTmOR+IztNhmI/87ZaUsZICFEKrm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Z1T&#10;olmPFD3I0ZNrGMk8VGcwrkKne4NufsRtZDlm6swd8E+OaLhpmd7Il9bC0EomMLosnExOjk44LoCs&#10;h7cg8Bq29RCBxsb2oXRYDILoyNLjkZkQCsfN4gX+0MLRlC+KYhGZS1h1OGys868l9CRMamqR+AjO&#10;dnfOh2BYdXAJdznolFiprosLu1nfdJbsGIpkFb8Y/xO3TgdnDeHYhDjtYIx4R7CFaCPpX8ssL9Lr&#10;vJytzhcXs2JVzGflRbqYpVl5XZ6nRVncrr6FALOiapUQUt8pLQ8CzIq/I3jfCpN0ogTJUNNyns8n&#10;hv6YZBq/3yXZK4/92Km+poujE6sCr6+0wLRZ5Znqpnnyc/ixyliDw3+sSlRBIH6SgB/XY5RbfhDX&#10;GsQjysIC0oYM41uCkxbsF0oG7Muaus9bZiUl3RuN0iqzIgjBx0Uxv8hxYU8t61ML0xyhauopmaY3&#10;fmr+rbFq0+JNk5g1vEQ5NipKJeh2imovYuy9mNP+nQjNfbqOXj9es+V3AAAA//8DAFBLAwQUAAYA&#10;CAAAACEAN8Edmt8AAAAMAQAADwAAAGRycy9kb3ducmV2LnhtbEyPQU+DQBCF7yb+h82YeDHtYivQ&#10;IkujJhqvrf0BA7sFIjtL2G2h/97hZG/zZl7efC/fTbYTFzP41pGC52UEwlDldEu1guPP52IDwgck&#10;jZ0jo+BqPOyK+7scM+1G2pvLIdSCQ8hnqKAJoc+k9FVjLPql6w3x7eQGi4HlUEs94MjhtpOrKEqk&#10;xZb4Q4O9+WhM9Xs4WwWn7/Ep3o7lVzim+5fkHdu0dFelHh+mt1cQwUzh3wwzPqNDwUylO5P2omO9&#10;2m7W7FWwiCMeZss6SVIQ5byKQRa5vC1R/AEAAP//AwBQSwECLQAUAAYACAAAACEAtoM4kv4AAADh&#10;AQAAEwAAAAAAAAAAAAAAAAAAAAAAW0NvbnRlbnRfVHlwZXNdLnhtbFBLAQItABQABgAIAAAAIQA4&#10;/SH/1gAAAJQBAAALAAAAAAAAAAAAAAAAAC8BAABfcmVscy8ucmVsc1BLAQItABQABgAIAAAAIQBL&#10;e3NzhAIAABUFAAAOAAAAAAAAAAAAAAAAAC4CAABkcnMvZTJvRG9jLnhtbFBLAQItABQABgAIAAAA&#10;IQA3wR2a3wAAAAwBAAAPAAAAAAAAAAAAAAAAAN4EAABkcnMvZG93bnJldi54bWxQSwUGAAAAAAQA&#10;BADzAAAA6gUAAAAA&#10;" stroked="f">
                <v:textbox>
                  <w:txbxContent>
                    <w:p w:rsidR="00EF02D9" w:rsidRDefault="00EF02D9" w:rsidP="00EF02D9"/>
                    <w:p w:rsidR="00EF02D9" w:rsidRDefault="00EF02D9" w:rsidP="00EF02D9"/>
                  </w:txbxContent>
                </v:textbox>
              </v:shape>
            </w:pict>
          </mc:Fallback>
        </mc:AlternateContent>
      </w:r>
      <w:r w:rsidR="00EF02D9" w:rsidRPr="006C2A1C">
        <w:rPr>
          <w:sz w:val="22"/>
          <w:szCs w:val="22"/>
        </w:rPr>
        <w:t xml:space="preserve">    5.2</w:t>
      </w:r>
      <w:r w:rsidR="00EF02D9" w:rsidRPr="006C2A1C">
        <w:rPr>
          <w:sz w:val="22"/>
          <w:szCs w:val="22"/>
        </w:rPr>
        <w:tab/>
        <w:t>Fixed Assets received by way of non-monetary grants (other than towards the Corpus Fund), are capitalized at values stated, by corresponding credit to Capital Fund/ Reserve.</w:t>
      </w:r>
    </w:p>
    <w:p w:rsidR="00EF02D9" w:rsidRDefault="00EF02D9" w:rsidP="00EF02D9">
      <w:pPr>
        <w:ind w:left="1260"/>
        <w:jc w:val="both"/>
        <w:rPr>
          <w:b/>
          <w:bCs/>
        </w:rPr>
      </w:pPr>
      <w:r>
        <w:rPr>
          <w:b/>
          <w:bCs/>
        </w:rPr>
        <w:t xml:space="preserve">6.   </w:t>
      </w:r>
      <w:r w:rsidRPr="006C2A1C">
        <w:rPr>
          <w:b/>
          <w:bCs/>
        </w:rPr>
        <w:t xml:space="preserve"> </w:t>
      </w:r>
      <w:r>
        <w:rPr>
          <w:b/>
          <w:bCs/>
        </w:rPr>
        <w:t xml:space="preserve">      </w:t>
      </w:r>
      <w:r>
        <w:rPr>
          <w:b/>
          <w:bCs/>
          <w:u w:val="single"/>
        </w:rPr>
        <w:t>DEPRECIATION</w:t>
      </w:r>
      <w:r>
        <w:rPr>
          <w:b/>
          <w:bCs/>
        </w:rPr>
        <w:t xml:space="preserve">:   </w:t>
      </w:r>
    </w:p>
    <w:p w:rsidR="00EF02D9" w:rsidRPr="00CB6433" w:rsidRDefault="00EF02D9" w:rsidP="00EF02D9">
      <w:pPr>
        <w:ind w:left="21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CB6433">
        <w:rPr>
          <w:bCs/>
          <w:sz w:val="22"/>
          <w:szCs w:val="22"/>
        </w:rPr>
        <w:t xml:space="preserve">epreciation on the assets has </w:t>
      </w:r>
      <w:r>
        <w:rPr>
          <w:bCs/>
          <w:sz w:val="22"/>
          <w:szCs w:val="22"/>
        </w:rPr>
        <w:t xml:space="preserve">been provided </w:t>
      </w:r>
      <w:r w:rsidRPr="00CB6433">
        <w:rPr>
          <w:bCs/>
          <w:sz w:val="22"/>
          <w:szCs w:val="22"/>
        </w:rPr>
        <w:t>at the rates prescribed by the Income Tax Act on the block of Assets as at the close of financial</w:t>
      </w:r>
      <w:r>
        <w:rPr>
          <w:bCs/>
          <w:sz w:val="22"/>
          <w:szCs w:val="22"/>
        </w:rPr>
        <w:t xml:space="preserve"> earlier.</w:t>
      </w:r>
      <w:r w:rsidRPr="00CB643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During the year, a</w:t>
      </w:r>
      <w:r w:rsidRPr="00CB6433">
        <w:rPr>
          <w:bCs/>
          <w:sz w:val="22"/>
          <w:szCs w:val="22"/>
        </w:rPr>
        <w:t xml:space="preserve"> sum of Rs.</w:t>
      </w:r>
      <w:r>
        <w:rPr>
          <w:bCs/>
          <w:sz w:val="22"/>
          <w:szCs w:val="22"/>
        </w:rPr>
        <w:t>3</w:t>
      </w:r>
      <w:proofErr w:type="gramStart"/>
      <w:r>
        <w:rPr>
          <w:bCs/>
          <w:sz w:val="22"/>
          <w:szCs w:val="22"/>
        </w:rPr>
        <w:t>,69,622</w:t>
      </w:r>
      <w:proofErr w:type="gramEnd"/>
      <w:r>
        <w:rPr>
          <w:bCs/>
          <w:sz w:val="22"/>
          <w:szCs w:val="22"/>
        </w:rPr>
        <w:t>/- (Schedule-8)</w:t>
      </w:r>
      <w:r w:rsidRPr="00CB6433">
        <w:rPr>
          <w:bCs/>
          <w:sz w:val="22"/>
          <w:szCs w:val="22"/>
        </w:rPr>
        <w:t xml:space="preserve"> has been written off to Income</w:t>
      </w:r>
      <w:r>
        <w:rPr>
          <w:bCs/>
          <w:sz w:val="22"/>
          <w:szCs w:val="22"/>
        </w:rPr>
        <w:t xml:space="preserve"> &amp; Expenditure on this account.</w:t>
      </w:r>
    </w:p>
    <w:p w:rsidR="00EF02D9" w:rsidRPr="00FE5CBD" w:rsidRDefault="00EF02D9" w:rsidP="00EF02D9">
      <w:pPr>
        <w:ind w:left="2160"/>
        <w:jc w:val="both"/>
        <w:rPr>
          <w:bCs/>
        </w:rPr>
      </w:pPr>
    </w:p>
    <w:p w:rsidR="00EF02D9" w:rsidRDefault="00EF02D9" w:rsidP="00EF02D9">
      <w:pPr>
        <w:ind w:left="1260"/>
        <w:jc w:val="both"/>
        <w:rPr>
          <w:b/>
          <w:bCs/>
          <w:u w:val="single"/>
        </w:rPr>
      </w:pPr>
      <w:r>
        <w:rPr>
          <w:b/>
          <w:bCs/>
        </w:rPr>
        <w:t>7</w:t>
      </w:r>
      <w:r w:rsidRPr="00EB45B7">
        <w:rPr>
          <w:b/>
          <w:bCs/>
        </w:rPr>
        <w:t xml:space="preserve">.  </w:t>
      </w:r>
      <w:r>
        <w:rPr>
          <w:b/>
          <w:bCs/>
        </w:rPr>
        <w:t xml:space="preserve">         </w:t>
      </w:r>
      <w:r w:rsidRPr="00EB45B7">
        <w:rPr>
          <w:b/>
          <w:bCs/>
        </w:rPr>
        <w:t xml:space="preserve"> </w:t>
      </w:r>
      <w:r>
        <w:rPr>
          <w:b/>
          <w:bCs/>
          <w:u w:val="single"/>
        </w:rPr>
        <w:t>MISCELLANEOUS EXPENDITURE:</w:t>
      </w:r>
    </w:p>
    <w:p w:rsidR="00EF02D9" w:rsidRPr="00CB6433" w:rsidRDefault="00EF02D9" w:rsidP="00EF02D9">
      <w:pPr>
        <w:ind w:left="2160"/>
        <w:jc w:val="both"/>
        <w:rPr>
          <w:sz w:val="22"/>
          <w:szCs w:val="22"/>
        </w:rPr>
      </w:pPr>
      <w:r w:rsidRPr="00CB6433">
        <w:rPr>
          <w:sz w:val="22"/>
          <w:szCs w:val="22"/>
        </w:rPr>
        <w:t>Deferred revenue expenditure</w:t>
      </w:r>
      <w:r>
        <w:rPr>
          <w:sz w:val="22"/>
          <w:szCs w:val="22"/>
        </w:rPr>
        <w:t>, if any,</w:t>
      </w:r>
      <w:r w:rsidRPr="00CB6433">
        <w:rPr>
          <w:sz w:val="22"/>
          <w:szCs w:val="22"/>
        </w:rPr>
        <w:t xml:space="preserve"> is written off over a period of 5 years from the year it is incurred.</w:t>
      </w:r>
    </w:p>
    <w:p w:rsidR="00EF02D9" w:rsidRDefault="00EF02D9" w:rsidP="00EF02D9">
      <w:pPr>
        <w:ind w:left="1260"/>
        <w:jc w:val="both"/>
        <w:rPr>
          <w:b/>
          <w:bCs/>
          <w:u w:val="single"/>
        </w:rPr>
      </w:pPr>
    </w:p>
    <w:p w:rsidR="00EF02D9" w:rsidRDefault="00EF02D9" w:rsidP="00EF02D9">
      <w:pPr>
        <w:ind w:left="1260"/>
        <w:jc w:val="both"/>
        <w:rPr>
          <w:b/>
          <w:bCs/>
          <w:u w:val="single"/>
        </w:rPr>
      </w:pPr>
      <w:r>
        <w:rPr>
          <w:b/>
          <w:bCs/>
        </w:rPr>
        <w:t>8</w:t>
      </w:r>
      <w:r w:rsidRPr="00EB45B7">
        <w:rPr>
          <w:b/>
          <w:bCs/>
        </w:rPr>
        <w:t xml:space="preserve">.   </w:t>
      </w:r>
      <w:r>
        <w:rPr>
          <w:b/>
          <w:bCs/>
        </w:rPr>
        <w:t xml:space="preserve">       </w:t>
      </w:r>
      <w:r w:rsidRPr="00EB45B7">
        <w:rPr>
          <w:b/>
          <w:bCs/>
        </w:rPr>
        <w:t xml:space="preserve"> </w:t>
      </w:r>
      <w:r>
        <w:rPr>
          <w:bCs/>
          <w:u w:val="single"/>
        </w:rPr>
        <w:t xml:space="preserve"> </w:t>
      </w:r>
      <w:r>
        <w:rPr>
          <w:b/>
          <w:bCs/>
          <w:u w:val="single"/>
        </w:rPr>
        <w:t xml:space="preserve">ACCOUNTING FOR NIRAMAYA-HEALTH INSURANCE </w:t>
      </w:r>
      <w:proofErr w:type="gramStart"/>
      <w:r>
        <w:rPr>
          <w:b/>
          <w:bCs/>
          <w:u w:val="single"/>
        </w:rPr>
        <w:t>SCHEME :</w:t>
      </w:r>
      <w:proofErr w:type="gramEnd"/>
    </w:p>
    <w:p w:rsidR="00EF02D9" w:rsidRPr="00CB6433" w:rsidRDefault="00EF02D9" w:rsidP="00EF02D9">
      <w:pPr>
        <w:ind w:left="2127" w:firstLine="33"/>
        <w:jc w:val="both"/>
        <w:rPr>
          <w:sz w:val="22"/>
          <w:szCs w:val="22"/>
        </w:rPr>
      </w:pPr>
      <w:r>
        <w:rPr>
          <w:sz w:val="22"/>
          <w:szCs w:val="22"/>
        </w:rPr>
        <w:t>Accounting for expenditure incurred on “</w:t>
      </w:r>
      <w:proofErr w:type="spellStart"/>
      <w:r>
        <w:rPr>
          <w:sz w:val="22"/>
          <w:szCs w:val="22"/>
        </w:rPr>
        <w:t>Niramaya</w:t>
      </w:r>
      <w:proofErr w:type="spellEnd"/>
      <w:r>
        <w:rPr>
          <w:sz w:val="22"/>
          <w:szCs w:val="22"/>
        </w:rPr>
        <w:t xml:space="preserve">” and revenue recovered on account of fee etc. is recorded in common ledger account namely “Health Insurance Scheme” under the head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and Projects.  However, the total expenditure incurred on the scheme is shown under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&amp; Projects vide Schedule-22 and the fee recovered during the year is shown as </w:t>
      </w:r>
      <w:proofErr w:type="gramStart"/>
      <w:r>
        <w:rPr>
          <w:sz w:val="22"/>
          <w:szCs w:val="22"/>
        </w:rPr>
        <w:t>income under “Income from Fees/Subscriptions” vide</w:t>
      </w:r>
      <w:proofErr w:type="gramEnd"/>
      <w:r>
        <w:rPr>
          <w:sz w:val="22"/>
          <w:szCs w:val="22"/>
        </w:rPr>
        <w:t xml:space="preserve"> Schedule-14.  </w:t>
      </w:r>
    </w:p>
    <w:p w:rsidR="00EF02D9" w:rsidRDefault="00EF02D9" w:rsidP="00EF02D9">
      <w:pPr>
        <w:ind w:left="1260"/>
        <w:jc w:val="both"/>
        <w:rPr>
          <w:b/>
          <w:bCs/>
          <w:u w:val="single"/>
        </w:rPr>
      </w:pPr>
    </w:p>
    <w:p w:rsidR="00EF02D9" w:rsidRDefault="00EF02D9" w:rsidP="00EF02D9">
      <w:pPr>
        <w:ind w:left="1260"/>
        <w:jc w:val="both"/>
        <w:rPr>
          <w:b/>
          <w:bCs/>
          <w:u w:val="single"/>
        </w:rPr>
      </w:pPr>
      <w:r>
        <w:rPr>
          <w:b/>
          <w:bCs/>
        </w:rPr>
        <w:t>9</w:t>
      </w:r>
      <w:r w:rsidRPr="00EB45B7">
        <w:rPr>
          <w:b/>
          <w:bCs/>
        </w:rPr>
        <w:t>.</w:t>
      </w:r>
      <w:r>
        <w:rPr>
          <w:b/>
          <w:bCs/>
        </w:rPr>
        <w:t xml:space="preserve">          </w:t>
      </w:r>
      <w:r>
        <w:rPr>
          <w:b/>
          <w:bCs/>
          <w:u w:val="single"/>
        </w:rPr>
        <w:t xml:space="preserve"> GOVERNMENT GRANTS/</w:t>
      </w:r>
      <w:proofErr w:type="gramStart"/>
      <w:r>
        <w:rPr>
          <w:b/>
          <w:bCs/>
          <w:u w:val="single"/>
        </w:rPr>
        <w:t>SUBSIDIES :</w:t>
      </w:r>
      <w:proofErr w:type="gramEnd"/>
    </w:p>
    <w:p w:rsidR="00EF02D9" w:rsidRPr="00CB6433" w:rsidRDefault="00EF02D9" w:rsidP="00EF02D9">
      <w:pPr>
        <w:ind w:left="2160" w:hanging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B6433">
        <w:rPr>
          <w:sz w:val="22"/>
          <w:szCs w:val="22"/>
        </w:rPr>
        <w:t>.1 Government grants of the nature of contribution towards capital cost of setting up projects</w:t>
      </w:r>
      <w:r>
        <w:rPr>
          <w:sz w:val="22"/>
          <w:szCs w:val="22"/>
        </w:rPr>
        <w:t>, if any,</w:t>
      </w:r>
      <w:r w:rsidRPr="00CB6433">
        <w:rPr>
          <w:sz w:val="22"/>
          <w:szCs w:val="22"/>
        </w:rPr>
        <w:t xml:space="preserve"> are treated as Capital Reserve and Grants in respect of specific fixed assets acquired are shown as a deduction from the cost of the related assets.</w:t>
      </w:r>
    </w:p>
    <w:p w:rsidR="00EF02D9" w:rsidRPr="00CB6433" w:rsidRDefault="00EF02D9" w:rsidP="00EF02D9">
      <w:pPr>
        <w:ind w:left="16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B6433">
        <w:rPr>
          <w:sz w:val="22"/>
          <w:szCs w:val="22"/>
        </w:rPr>
        <w:t xml:space="preserve">.2 </w:t>
      </w:r>
      <w:r>
        <w:rPr>
          <w:sz w:val="22"/>
          <w:szCs w:val="22"/>
        </w:rPr>
        <w:t xml:space="preserve">  Other </w:t>
      </w:r>
      <w:r w:rsidRPr="00CB6433">
        <w:rPr>
          <w:sz w:val="22"/>
          <w:szCs w:val="22"/>
        </w:rPr>
        <w:t xml:space="preserve">Government grants are accounted </w:t>
      </w:r>
      <w:r>
        <w:rPr>
          <w:sz w:val="22"/>
          <w:szCs w:val="22"/>
        </w:rPr>
        <w:t>for as Income under the head Grants/Subsidies/Sponsorships as per Schedule-13</w:t>
      </w:r>
      <w:r w:rsidRPr="00CB6433">
        <w:rPr>
          <w:sz w:val="22"/>
          <w:szCs w:val="22"/>
        </w:rPr>
        <w:t>.</w:t>
      </w:r>
    </w:p>
    <w:p w:rsidR="00EF02D9" w:rsidRDefault="00EF02D9" w:rsidP="00EF02D9">
      <w:pPr>
        <w:ind w:left="1260"/>
        <w:jc w:val="both"/>
      </w:pPr>
    </w:p>
    <w:p w:rsidR="00EF02D9" w:rsidRDefault="00EF02D9" w:rsidP="00EF02D9">
      <w:pPr>
        <w:pStyle w:val="Heading1"/>
        <w:numPr>
          <w:ilvl w:val="0"/>
          <w:numId w:val="0"/>
        </w:numPr>
        <w:ind w:left="1260"/>
      </w:pPr>
      <w:r>
        <w:rPr>
          <w:u w:val="none"/>
        </w:rPr>
        <w:t>10</w:t>
      </w:r>
      <w:r w:rsidRPr="00317507">
        <w:rPr>
          <w:u w:val="none"/>
        </w:rPr>
        <w:t>.</w:t>
      </w:r>
      <w:r>
        <w:rPr>
          <w:u w:val="none"/>
        </w:rPr>
        <w:t xml:space="preserve">        </w:t>
      </w:r>
      <w:r>
        <w:t xml:space="preserve">FOREIGN CURRENCY </w:t>
      </w:r>
      <w:proofErr w:type="gramStart"/>
      <w:r>
        <w:t>TRANSACTIONS :</w:t>
      </w:r>
      <w:proofErr w:type="gramEnd"/>
    </w:p>
    <w:p w:rsidR="00EF02D9" w:rsidRPr="00CB6433" w:rsidRDefault="00EF02D9" w:rsidP="00EF02D9">
      <w:pPr>
        <w:numPr>
          <w:ilvl w:val="1"/>
          <w:numId w:val="7"/>
        </w:numPr>
        <w:jc w:val="both"/>
        <w:rPr>
          <w:sz w:val="22"/>
          <w:szCs w:val="22"/>
        </w:rPr>
      </w:pPr>
      <w:r w:rsidRPr="00CB6433">
        <w:rPr>
          <w:sz w:val="22"/>
          <w:szCs w:val="22"/>
        </w:rPr>
        <w:t>Transactions denominated in foreign currency are accounted at the exchange rate prevailing at the date of transaction.</w:t>
      </w:r>
    </w:p>
    <w:p w:rsidR="00EF02D9" w:rsidRDefault="00EF02D9" w:rsidP="00EF02D9">
      <w:pPr>
        <w:numPr>
          <w:ilvl w:val="1"/>
          <w:numId w:val="7"/>
        </w:numPr>
        <w:tabs>
          <w:tab w:val="clear" w:pos="1995"/>
          <w:tab w:val="num" w:pos="2160"/>
        </w:tabs>
        <w:ind w:left="2160" w:hanging="540"/>
        <w:jc w:val="both"/>
        <w:rPr>
          <w:sz w:val="22"/>
          <w:szCs w:val="22"/>
        </w:rPr>
      </w:pPr>
      <w:r w:rsidRPr="00CB6433">
        <w:rPr>
          <w:sz w:val="22"/>
          <w:szCs w:val="22"/>
        </w:rPr>
        <w:t>Current assets, foreign currency loans and current liabilities are converted at the exchange rate prevailing as at the year end and the resultant gain/loss is adjusted to cost of fixed assets, if the foreign currency liability relates to fixed assets, and in other cases is considered to revenue.</w:t>
      </w:r>
    </w:p>
    <w:p w:rsidR="00EF02D9" w:rsidRDefault="00EF02D9" w:rsidP="00EF02D9">
      <w:pPr>
        <w:numPr>
          <w:ilvl w:val="0"/>
          <w:numId w:val="8"/>
        </w:numPr>
        <w:jc w:val="both"/>
        <w:rPr>
          <w:b/>
          <w:bCs/>
          <w:u w:val="single"/>
        </w:rPr>
      </w:pPr>
      <w:r>
        <w:rPr>
          <w:bCs/>
        </w:rPr>
        <w:t xml:space="preserve">      </w:t>
      </w:r>
      <w:r>
        <w:rPr>
          <w:b/>
          <w:bCs/>
          <w:u w:val="single"/>
        </w:rPr>
        <w:t>LEASE :</w:t>
      </w:r>
    </w:p>
    <w:p w:rsidR="00EF02D9" w:rsidRPr="00CB6433" w:rsidRDefault="00EF02D9" w:rsidP="00EF02D9">
      <w:pPr>
        <w:ind w:left="1260" w:firstLine="180"/>
        <w:jc w:val="both"/>
        <w:rPr>
          <w:sz w:val="22"/>
          <w:szCs w:val="22"/>
        </w:rPr>
      </w:pPr>
      <w:r w:rsidRPr="00CB6433">
        <w:rPr>
          <w:sz w:val="22"/>
          <w:szCs w:val="22"/>
        </w:rPr>
        <w:t xml:space="preserve">         Lease rentals are expensed with reference to lease terms.</w:t>
      </w:r>
    </w:p>
    <w:p w:rsidR="00EF02D9" w:rsidRDefault="00EF02D9" w:rsidP="00EF02D9">
      <w:pPr>
        <w:ind w:left="1260"/>
        <w:jc w:val="both"/>
      </w:pPr>
    </w:p>
    <w:p w:rsidR="00EF02D9" w:rsidRDefault="00EF02D9" w:rsidP="00EF02D9">
      <w:pPr>
        <w:numPr>
          <w:ilvl w:val="0"/>
          <w:numId w:val="8"/>
        </w:numPr>
        <w:jc w:val="both"/>
        <w:rPr>
          <w:b/>
          <w:bCs/>
          <w:u w:val="single"/>
        </w:rPr>
      </w:pPr>
      <w:r>
        <w:rPr>
          <w:bCs/>
        </w:rPr>
        <w:t xml:space="preserve">     </w:t>
      </w:r>
      <w:r>
        <w:rPr>
          <w:b/>
          <w:bCs/>
          <w:u w:val="single"/>
        </w:rPr>
        <w:t>RETIREMENT BENEFITS :</w:t>
      </w:r>
    </w:p>
    <w:p w:rsidR="00EF02D9" w:rsidRDefault="00EF02D9" w:rsidP="00EF02D9">
      <w:pPr>
        <w:ind w:left="1843" w:hanging="583"/>
        <w:jc w:val="both"/>
        <w:rPr>
          <w:sz w:val="22"/>
          <w:szCs w:val="22"/>
        </w:rPr>
      </w:pPr>
      <w:r w:rsidRPr="00CB64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12</w:t>
      </w:r>
      <w:r w:rsidRPr="00CB6433">
        <w:rPr>
          <w:sz w:val="22"/>
          <w:szCs w:val="22"/>
        </w:rPr>
        <w:t xml:space="preserve">.1 Additional </w:t>
      </w:r>
      <w:r>
        <w:rPr>
          <w:sz w:val="22"/>
          <w:szCs w:val="22"/>
        </w:rPr>
        <w:t>provision</w:t>
      </w:r>
      <w:r w:rsidRPr="00CB6433">
        <w:rPr>
          <w:sz w:val="22"/>
          <w:szCs w:val="22"/>
        </w:rPr>
        <w:t xml:space="preserve"> on account of Gratuity payable to employees on their retirement/cessation of service has been provided for in</w:t>
      </w:r>
      <w:r>
        <w:rPr>
          <w:sz w:val="22"/>
          <w:szCs w:val="22"/>
        </w:rPr>
        <w:t xml:space="preserve"> </w:t>
      </w:r>
      <w:r w:rsidRPr="00CB6433">
        <w:rPr>
          <w:sz w:val="22"/>
          <w:szCs w:val="22"/>
        </w:rPr>
        <w:t xml:space="preserve">accounts </w:t>
      </w:r>
      <w:r>
        <w:rPr>
          <w:sz w:val="22"/>
          <w:szCs w:val="22"/>
        </w:rPr>
        <w:t>for the year ending on 31.3.2021</w:t>
      </w:r>
      <w:r w:rsidRPr="00CB6433">
        <w:rPr>
          <w:sz w:val="22"/>
          <w:szCs w:val="22"/>
        </w:rPr>
        <w:t>.</w:t>
      </w:r>
      <w:r>
        <w:rPr>
          <w:sz w:val="22"/>
          <w:szCs w:val="22"/>
        </w:rPr>
        <w:t xml:space="preserve">  In addition, the provision for Leave Encashment is also made in accounts for the year ending on 31.3.2021.</w:t>
      </w:r>
    </w:p>
    <w:p w:rsidR="00EF02D9" w:rsidRPr="00CB6433" w:rsidRDefault="00EF02D9" w:rsidP="00EF02D9">
      <w:pPr>
        <w:ind w:left="1980" w:hanging="720"/>
        <w:jc w:val="both"/>
        <w:rPr>
          <w:sz w:val="22"/>
          <w:szCs w:val="22"/>
        </w:rPr>
      </w:pPr>
    </w:p>
    <w:p w:rsidR="00EF02D9" w:rsidRPr="00CB6433" w:rsidRDefault="00EF02D9" w:rsidP="00EF02D9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12.2</w:t>
      </w:r>
      <w:r w:rsidRPr="00CB64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Consequent upon introduction of new Contributory Pension Scheme, the provision for </w:t>
      </w:r>
      <w:proofErr w:type="spellStart"/>
      <w:r>
        <w:rPr>
          <w:sz w:val="22"/>
          <w:szCs w:val="22"/>
        </w:rPr>
        <w:t>pensionary</w:t>
      </w:r>
      <w:proofErr w:type="spellEnd"/>
      <w:r>
        <w:rPr>
          <w:sz w:val="22"/>
          <w:szCs w:val="22"/>
        </w:rPr>
        <w:t xml:space="preserve"> benefits is being made regularly and is being deposited with P.F.R.D.A. accordingly.</w:t>
      </w:r>
    </w:p>
    <w:p w:rsidR="00EF02D9" w:rsidRDefault="00EF02D9" w:rsidP="00EF02D9">
      <w:pPr>
        <w:tabs>
          <w:tab w:val="left" w:pos="900"/>
        </w:tabs>
        <w:ind w:left="1260"/>
        <w:jc w:val="both"/>
      </w:pPr>
    </w:p>
    <w:p w:rsidR="00EF02D9" w:rsidRPr="005A5CCC" w:rsidRDefault="00EF02D9" w:rsidP="00EF02D9">
      <w:pPr>
        <w:ind w:left="1800" w:firstLine="360"/>
        <w:rPr>
          <w:b/>
        </w:rPr>
      </w:pPr>
      <w:r>
        <w:rPr>
          <w:b/>
        </w:rPr>
        <w:t xml:space="preserve">      </w:t>
      </w:r>
      <w:r w:rsidRPr="005A5CCC">
        <w:rPr>
          <w:b/>
        </w:rPr>
        <w:t>Accounts officer</w:t>
      </w:r>
      <w:r w:rsidRPr="005A5CCC">
        <w:rPr>
          <w:b/>
        </w:rPr>
        <w:tab/>
      </w:r>
      <w:r w:rsidRPr="005A5CCC">
        <w:rPr>
          <w:b/>
        </w:rPr>
        <w:tab/>
      </w:r>
      <w:r w:rsidRPr="005A5CCC">
        <w:rPr>
          <w:b/>
        </w:rPr>
        <w:tab/>
      </w:r>
      <w:r w:rsidRPr="005A5CCC">
        <w:rPr>
          <w:b/>
        </w:rPr>
        <w:tab/>
      </w:r>
      <w:r w:rsidRPr="005A5CCC">
        <w:rPr>
          <w:b/>
        </w:rPr>
        <w:tab/>
        <w:t xml:space="preserve">Chief Executive Officer </w:t>
      </w:r>
    </w:p>
    <w:p w:rsidR="00EF02D9" w:rsidRDefault="00EF02D9" w:rsidP="00EF02D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EF02D9" w:rsidRDefault="00EF02D9" w:rsidP="00EF02D9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8396605</wp:posOffset>
                </wp:positionH>
                <wp:positionV relativeFrom="paragraph">
                  <wp:posOffset>-313055</wp:posOffset>
                </wp:positionV>
                <wp:extent cx="434340" cy="28448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2D9" w:rsidRDefault="00EF02D9" w:rsidP="00EF02D9">
                            <w:r>
                              <w:t>24</w:t>
                            </w:r>
                          </w:p>
                          <w:p w:rsidR="00EF02D9" w:rsidRDefault="00EF02D9" w:rsidP="00EF02D9"/>
                          <w:p w:rsidR="00EF02D9" w:rsidRDefault="00EF02D9" w:rsidP="00EF0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61.15pt;margin-top:-24.65pt;width:34.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zZgwIAABUFAAAOAAAAZHJzL2Uyb0RvYy54bWysVG1v2yAQ/j5p/wHxPfVLnTa26lRNukyT&#10;uhep3Q8ggGM0DAxI7K7af9+BkzTrNmma5kgE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ahOb1wFTvcG3PwA28ByzNSZO02/OKT0siVqw2+s1X3LCYPosnAyOTk64rgA&#10;su7fawbXkK3XEWhobBdKB8VAgA4sPR6ZCaFQ2CzO4QcWCqZ8VhSzyFxCqsNhY51/y3WHwqTGFoiP&#10;4GR353wIhlQHl3CX01KwlZAyLuxmvZQW7QiIZBW/GP8LN6mCs9Lh2Ig47kCMcEewhWgj6U9llhfp&#10;Ii8nq4vZ5aRYFdNJeZnOJmlWLsqLtCiL29X3EGBWVK1gjKs7ofhBgFnxdwTvW2GUTpQg6mtcTvPp&#10;yNAfk0zj97skO+GhH6Xoajw7OpEq8PpGMUibVJ4IOc6Tn8OPVYYaHP5jVaIKAvGjBPywHvZyA7Cg&#10;kLVmjyALq4E2YBjeEpi02n7DqIe+rLH7uiWWYyTfKZBWmRVBCD4uiullDgt7almfWoiiAFVjj9E4&#10;Xfqx+bfGik0LN41iVvoG5NiIKJXnqPYiht6LOe3fidDcp+vo9fyazX8AAAD//wMAUEsDBBQABgAI&#10;AAAAIQBLD7AC3wAAAAwBAAAPAAAAZHJzL2Rvd25yZXYueG1sTI/BboNADETvlfoPK0fqpUqWQhIK&#10;ZYnaSq16TZoPMOAACutF7CaQv+9yam4eezR+k+0m3YkrDbY1rOBlFYAgLk3Vcq3g+Pu1fAVhHXKF&#10;nWFScCMLu/zxIcO0MiPv6XpwtfAhbFNU0DjXp1LasiGNdmV6Yn87mUGj83KoZTXg6MN1J8Mg2EqN&#10;LfsPDfb02VB5Ply0gtPP+LxJxuLbHeP9evuBbVyYm1JPi+n9DYSjyf2bYcb36JB7psJcuLKi8zoK&#10;w8h7FSzXiR9mS5QEMYhiXm1A5pm8L5H/AQAA//8DAFBLAQItABQABgAIAAAAIQC2gziS/gAAAOEB&#10;AAATAAAAAAAAAAAAAAAAAAAAAABbQ29udGVudF9UeXBlc10ueG1sUEsBAi0AFAAGAAgAAAAhADj9&#10;If/WAAAAlAEAAAsAAAAAAAAAAAAAAAAALwEAAF9yZWxzLy5yZWxzUEsBAi0AFAAGAAgAAAAhAH/H&#10;HNmDAgAAFQUAAA4AAAAAAAAAAAAAAAAALgIAAGRycy9lMm9Eb2MueG1sUEsBAi0AFAAGAAgAAAAh&#10;AEsPsALfAAAADAEAAA8AAAAAAAAAAAAAAAAA3QQAAGRycy9kb3ducmV2LnhtbFBLBQYAAAAABAAE&#10;APMAAADpBQAAAAA=&#10;" stroked="f">
                <v:textbox>
                  <w:txbxContent>
                    <w:p w:rsidR="00EF02D9" w:rsidRDefault="00EF02D9" w:rsidP="00EF02D9">
                      <w:r>
                        <w:t>24</w:t>
                      </w:r>
                    </w:p>
                    <w:p w:rsidR="00EF02D9" w:rsidRDefault="00EF02D9" w:rsidP="00EF02D9"/>
                    <w:p w:rsidR="00EF02D9" w:rsidRDefault="00EF02D9" w:rsidP="00EF02D9"/>
                  </w:txbxContent>
                </v:textbox>
              </v:shape>
            </w:pict>
          </mc:Fallback>
        </mc:AlternateContent>
      </w:r>
      <w:r w:rsidRPr="001357C3">
        <w:rPr>
          <w:b/>
          <w:bCs/>
          <w:sz w:val="20"/>
          <w:szCs w:val="20"/>
        </w:rPr>
        <w:t>NATIONAL TRUST</w:t>
      </w:r>
    </w:p>
    <w:p w:rsidR="00EF02D9" w:rsidRDefault="00EF02D9" w:rsidP="00EF02D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THE WELFARE OF PERSONS WITH AUTISM, CEREBRAL PALSY</w:t>
      </w:r>
    </w:p>
    <w:p w:rsidR="00EF02D9" w:rsidRPr="001357C3" w:rsidRDefault="00EF02D9" w:rsidP="00EF02D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MENTAL RETARDATION &amp; MULTIPLE DISABILITIES</w:t>
      </w:r>
    </w:p>
    <w:p w:rsidR="00EF02D9" w:rsidRDefault="00EF02D9" w:rsidP="00EF02D9">
      <w:pPr>
        <w:jc w:val="center"/>
        <w:rPr>
          <w:b/>
          <w:bCs/>
        </w:rPr>
      </w:pPr>
      <w:r w:rsidRPr="001357C3">
        <w:rPr>
          <w:b/>
          <w:bCs/>
          <w:sz w:val="20"/>
          <w:szCs w:val="20"/>
        </w:rPr>
        <w:t>(MINISTRY OF SOCIAL JUSTICE &amp; EMPOWERMENT</w:t>
      </w:r>
      <w:r>
        <w:rPr>
          <w:b/>
          <w:bCs/>
          <w:sz w:val="20"/>
          <w:szCs w:val="20"/>
        </w:rPr>
        <w:t>, GOVT. OF INDIA)</w:t>
      </w:r>
    </w:p>
    <w:p w:rsidR="00EF02D9" w:rsidRDefault="00EF02D9" w:rsidP="00EF02D9">
      <w:pPr>
        <w:jc w:val="center"/>
        <w:rPr>
          <w:b/>
          <w:bCs/>
        </w:rPr>
      </w:pPr>
      <w:proofErr w:type="gramStart"/>
      <w:r w:rsidRPr="00A914A4">
        <w:rPr>
          <w:b/>
          <w:bCs/>
          <w:sz w:val="20"/>
          <w:szCs w:val="20"/>
        </w:rPr>
        <w:t>16-B, B</w:t>
      </w:r>
      <w:r>
        <w:rPr>
          <w:b/>
          <w:bCs/>
          <w:sz w:val="20"/>
          <w:szCs w:val="20"/>
        </w:rPr>
        <w:t xml:space="preserve">ADA BAZAR ROAD, OLD RAJINDER NAGAR NEW DELHI </w:t>
      </w:r>
      <w:r w:rsidRPr="00A914A4">
        <w:rPr>
          <w:b/>
          <w:bCs/>
          <w:sz w:val="20"/>
          <w:szCs w:val="20"/>
        </w:rPr>
        <w:t>- 110 060</w:t>
      </w:r>
      <w:r>
        <w:rPr>
          <w:b/>
          <w:bCs/>
        </w:rPr>
        <w:t>.</w:t>
      </w:r>
      <w:proofErr w:type="gramEnd"/>
    </w:p>
    <w:p w:rsidR="00EF02D9" w:rsidRDefault="00EF02D9" w:rsidP="00EF02D9">
      <w:pPr>
        <w:jc w:val="center"/>
        <w:rPr>
          <w:b/>
          <w:bCs/>
          <w:sz w:val="20"/>
          <w:szCs w:val="20"/>
          <w:u w:val="single"/>
        </w:rPr>
      </w:pPr>
    </w:p>
    <w:p w:rsidR="00EF02D9" w:rsidRPr="00A914A4" w:rsidRDefault="00EF02D9" w:rsidP="00EF02D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SCHEDULE – 25  </w:t>
      </w:r>
      <w:r w:rsidRPr="00A914A4">
        <w:rPr>
          <w:b/>
          <w:bCs/>
          <w:sz w:val="20"/>
          <w:szCs w:val="20"/>
          <w:u w:val="single"/>
        </w:rPr>
        <w:t xml:space="preserve"> : </w:t>
      </w:r>
      <w:r>
        <w:rPr>
          <w:b/>
          <w:bCs/>
          <w:sz w:val="20"/>
          <w:szCs w:val="20"/>
          <w:u w:val="single"/>
        </w:rPr>
        <w:t xml:space="preserve"> </w:t>
      </w:r>
      <w:r w:rsidRPr="00A914A4">
        <w:rPr>
          <w:b/>
          <w:bCs/>
          <w:sz w:val="20"/>
          <w:szCs w:val="20"/>
          <w:u w:val="single"/>
        </w:rPr>
        <w:t>FORMING PART OF BALANCE SHEET AS AT 31</w:t>
      </w:r>
      <w:r w:rsidRPr="00A914A4">
        <w:rPr>
          <w:b/>
          <w:bCs/>
          <w:sz w:val="20"/>
          <w:szCs w:val="20"/>
          <w:u w:val="single"/>
          <w:vertAlign w:val="superscript"/>
        </w:rPr>
        <w:t>ST</w:t>
      </w:r>
      <w:r>
        <w:rPr>
          <w:b/>
          <w:bCs/>
          <w:sz w:val="20"/>
          <w:szCs w:val="20"/>
          <w:u w:val="single"/>
        </w:rPr>
        <w:t xml:space="preserve"> MARCH 2021</w:t>
      </w:r>
    </w:p>
    <w:p w:rsidR="00EF02D9" w:rsidRDefault="00EF02D9" w:rsidP="00EF02D9">
      <w:pPr>
        <w:rPr>
          <w:b/>
          <w:bCs/>
          <w:u w:val="single"/>
        </w:rPr>
      </w:pPr>
    </w:p>
    <w:p w:rsidR="00EF02D9" w:rsidRDefault="00EF02D9" w:rsidP="00EF02D9">
      <w:pPr>
        <w:pStyle w:val="BodyText"/>
      </w:pPr>
      <w:r>
        <w:t xml:space="preserve">SCHEDULE 25 – CONTINGENT LIABILITIES AND NOTES ON </w:t>
      </w:r>
      <w:proofErr w:type="gramStart"/>
      <w:r>
        <w:t>ACCOUNTS :</w:t>
      </w:r>
      <w:proofErr w:type="gramEnd"/>
    </w:p>
    <w:p w:rsidR="00EF02D9" w:rsidRDefault="00EF02D9" w:rsidP="00EF02D9">
      <w:pPr>
        <w:pStyle w:val="BodyText"/>
      </w:pPr>
    </w:p>
    <w:p w:rsidR="00EF02D9" w:rsidRDefault="00EF02D9" w:rsidP="00EF02D9">
      <w:pPr>
        <w:pStyle w:val="BodyText"/>
        <w:numPr>
          <w:ilvl w:val="0"/>
          <w:numId w:val="2"/>
        </w:numPr>
      </w:pPr>
      <w:r>
        <w:t>CONTINGENT LIABILITIES :</w:t>
      </w:r>
    </w:p>
    <w:p w:rsidR="00EF02D9" w:rsidRPr="00994D0C" w:rsidRDefault="00EF02D9" w:rsidP="00EF02D9">
      <w:pPr>
        <w:pStyle w:val="BodyText"/>
        <w:numPr>
          <w:ilvl w:val="1"/>
          <w:numId w:val="2"/>
        </w:numPr>
        <w:rPr>
          <w:b w:val="0"/>
          <w:bCs w:val="0"/>
          <w:sz w:val="22"/>
          <w:szCs w:val="22"/>
          <w:u w:val="none"/>
        </w:rPr>
      </w:pPr>
      <w:r w:rsidRPr="00994D0C">
        <w:rPr>
          <w:b w:val="0"/>
          <w:bCs w:val="0"/>
          <w:sz w:val="22"/>
          <w:szCs w:val="22"/>
          <w:u w:val="none"/>
        </w:rPr>
        <w:t xml:space="preserve">Claims against the Entity not acknowledged as debts –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 xml:space="preserve">.__Nil_(Previous year 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>._Nil_)</w:t>
      </w:r>
    </w:p>
    <w:p w:rsidR="00EF02D9" w:rsidRPr="00C40762" w:rsidRDefault="00EF02D9" w:rsidP="00EF02D9">
      <w:pPr>
        <w:pStyle w:val="BodyText"/>
        <w:ind w:left="360"/>
        <w:rPr>
          <w:b w:val="0"/>
          <w:bCs w:val="0"/>
          <w:u w:val="none"/>
        </w:rPr>
      </w:pPr>
    </w:p>
    <w:p w:rsidR="00EF02D9" w:rsidRDefault="00EF02D9" w:rsidP="00EF02D9">
      <w:pPr>
        <w:pStyle w:val="BodyText"/>
        <w:numPr>
          <w:ilvl w:val="1"/>
          <w:numId w:val="2"/>
        </w:numPr>
        <w:rPr>
          <w:b w:val="0"/>
          <w:bCs w:val="0"/>
          <w:u w:val="none"/>
        </w:rPr>
      </w:pPr>
      <w:r>
        <w:rPr>
          <w:b w:val="0"/>
          <w:bCs w:val="0"/>
        </w:rPr>
        <w:t>In respect of</w:t>
      </w:r>
      <w:r>
        <w:rPr>
          <w:b w:val="0"/>
          <w:bCs w:val="0"/>
          <w:u w:val="none"/>
        </w:rPr>
        <w:t xml:space="preserve"> :</w:t>
      </w:r>
    </w:p>
    <w:p w:rsidR="00EF02D9" w:rsidRPr="00994D0C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994D0C">
        <w:rPr>
          <w:b w:val="0"/>
          <w:bCs w:val="0"/>
          <w:sz w:val="22"/>
          <w:szCs w:val="22"/>
          <w:u w:val="none"/>
        </w:rPr>
        <w:t xml:space="preserve">Bank guarantees given by/on behalf of the Entity –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 xml:space="preserve">. __Nil__(Previous year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>._Nil__)</w:t>
      </w:r>
    </w:p>
    <w:p w:rsidR="00EF02D9" w:rsidRPr="00994D0C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994D0C">
        <w:rPr>
          <w:b w:val="0"/>
          <w:bCs w:val="0"/>
          <w:sz w:val="22"/>
          <w:szCs w:val="22"/>
          <w:u w:val="none"/>
        </w:rPr>
        <w:t>Letters of Credit opened by Bank on behalf of the Entity –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 xml:space="preserve">. _Nil_(Previous year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>._Nil_)</w:t>
      </w:r>
    </w:p>
    <w:p w:rsidR="00EF02D9" w:rsidRPr="00994D0C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994D0C">
        <w:rPr>
          <w:b w:val="0"/>
          <w:bCs w:val="0"/>
          <w:sz w:val="22"/>
          <w:szCs w:val="22"/>
          <w:u w:val="none"/>
        </w:rPr>
        <w:t xml:space="preserve">Bills discounted with banks 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 xml:space="preserve">. _Nil_(Previous year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>._Nil__)</w:t>
      </w:r>
    </w:p>
    <w:p w:rsidR="00EF02D9" w:rsidRPr="00C40762" w:rsidRDefault="00EF02D9" w:rsidP="00EF02D9">
      <w:pPr>
        <w:pStyle w:val="BodyText"/>
        <w:ind w:left="360"/>
        <w:rPr>
          <w:b w:val="0"/>
          <w:bCs w:val="0"/>
          <w:u w:val="none"/>
        </w:rPr>
      </w:pPr>
    </w:p>
    <w:p w:rsidR="00EF02D9" w:rsidRDefault="00EF02D9" w:rsidP="00EF02D9">
      <w:pPr>
        <w:pStyle w:val="BodyText"/>
        <w:numPr>
          <w:ilvl w:val="1"/>
          <w:numId w:val="2"/>
        </w:numPr>
        <w:rPr>
          <w:b w:val="0"/>
          <w:bCs w:val="0"/>
          <w:u w:val="none"/>
        </w:rPr>
      </w:pPr>
      <w:r>
        <w:rPr>
          <w:b w:val="0"/>
          <w:bCs w:val="0"/>
        </w:rPr>
        <w:t>Disputed demands in respect of</w:t>
      </w:r>
      <w:r>
        <w:rPr>
          <w:b w:val="0"/>
          <w:bCs w:val="0"/>
          <w:u w:val="none"/>
        </w:rPr>
        <w:t xml:space="preserve"> :</w:t>
      </w:r>
    </w:p>
    <w:p w:rsidR="00EF02D9" w:rsidRPr="00994D0C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994D0C">
        <w:rPr>
          <w:b w:val="0"/>
          <w:bCs w:val="0"/>
          <w:sz w:val="22"/>
          <w:szCs w:val="22"/>
          <w:u w:val="none"/>
        </w:rPr>
        <w:t xml:space="preserve">Income Tax 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 xml:space="preserve">. _Nil___(Previous year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>.__Nil__)</w:t>
      </w:r>
    </w:p>
    <w:p w:rsidR="00EF02D9" w:rsidRPr="00994D0C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994D0C">
        <w:rPr>
          <w:b w:val="0"/>
          <w:bCs w:val="0"/>
          <w:sz w:val="22"/>
          <w:szCs w:val="22"/>
          <w:u w:val="none"/>
        </w:rPr>
        <w:t xml:space="preserve">Sales Tax     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 xml:space="preserve">. _Nil __(Previous year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>.__Nil__)</w:t>
      </w:r>
    </w:p>
    <w:p w:rsidR="00EF02D9" w:rsidRPr="00994D0C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994D0C">
        <w:rPr>
          <w:b w:val="0"/>
          <w:bCs w:val="0"/>
          <w:sz w:val="22"/>
          <w:szCs w:val="22"/>
          <w:u w:val="none"/>
        </w:rPr>
        <w:t xml:space="preserve">Municipal Tax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 xml:space="preserve">. Nil__(Previous year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>.__Nil__)</w:t>
      </w:r>
    </w:p>
    <w:p w:rsidR="00EF02D9" w:rsidRDefault="00EF02D9" w:rsidP="00EF02D9">
      <w:pPr>
        <w:pStyle w:val="BodyText"/>
        <w:ind w:left="360"/>
        <w:rPr>
          <w:b w:val="0"/>
          <w:bCs w:val="0"/>
          <w:u w:val="none"/>
        </w:rPr>
      </w:pPr>
    </w:p>
    <w:p w:rsidR="00EF02D9" w:rsidRDefault="00EF02D9" w:rsidP="00EF02D9">
      <w:pPr>
        <w:pStyle w:val="BodyText"/>
        <w:numPr>
          <w:ilvl w:val="1"/>
          <w:numId w:val="2"/>
        </w:numPr>
        <w:rPr>
          <w:b w:val="0"/>
          <w:bCs w:val="0"/>
          <w:sz w:val="22"/>
          <w:szCs w:val="22"/>
          <w:u w:val="none"/>
        </w:rPr>
      </w:pPr>
      <w:r w:rsidRPr="00994D0C">
        <w:rPr>
          <w:b w:val="0"/>
          <w:bCs w:val="0"/>
          <w:sz w:val="22"/>
          <w:szCs w:val="22"/>
          <w:u w:val="none"/>
        </w:rPr>
        <w:t xml:space="preserve">In respect of claims from parties for non-execution of orders but contested by the Entity -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 xml:space="preserve">. _Nil_(Previous year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Rs.Nil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>_)</w:t>
      </w:r>
    </w:p>
    <w:p w:rsidR="00EF02D9" w:rsidRPr="00994D0C" w:rsidRDefault="00EF02D9" w:rsidP="00EF02D9">
      <w:pPr>
        <w:pStyle w:val="BodyText"/>
        <w:ind w:left="360"/>
        <w:rPr>
          <w:b w:val="0"/>
          <w:bCs w:val="0"/>
          <w:sz w:val="22"/>
          <w:szCs w:val="22"/>
          <w:u w:val="none"/>
        </w:rPr>
      </w:pPr>
    </w:p>
    <w:p w:rsidR="00EF02D9" w:rsidRDefault="00EF02D9" w:rsidP="00EF02D9">
      <w:pPr>
        <w:pStyle w:val="BodyText"/>
        <w:numPr>
          <w:ilvl w:val="0"/>
          <w:numId w:val="2"/>
        </w:numPr>
      </w:pPr>
      <w:r>
        <w:t>CAPITAL COMMITMENTS :</w:t>
      </w:r>
    </w:p>
    <w:p w:rsidR="00EF02D9" w:rsidRPr="00994D0C" w:rsidRDefault="00EF02D9" w:rsidP="00EF02D9">
      <w:pPr>
        <w:pStyle w:val="BodyText"/>
        <w:ind w:left="720"/>
        <w:rPr>
          <w:b w:val="0"/>
          <w:bCs w:val="0"/>
          <w:sz w:val="22"/>
          <w:szCs w:val="22"/>
          <w:u w:val="none"/>
        </w:rPr>
      </w:pPr>
      <w:r w:rsidRPr="00994D0C">
        <w:rPr>
          <w:b w:val="0"/>
          <w:bCs w:val="0"/>
          <w:sz w:val="22"/>
          <w:szCs w:val="22"/>
          <w:u w:val="none"/>
        </w:rPr>
        <w:t>Estimated value of contracts remaining to be executed on capital account and not provided for (net of advances)</w:t>
      </w:r>
      <w:r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Rs.Nil</w:t>
      </w:r>
      <w:proofErr w:type="spellEnd"/>
      <w:proofErr w:type="gramStart"/>
      <w:r w:rsidRPr="00994D0C">
        <w:rPr>
          <w:b w:val="0"/>
          <w:bCs w:val="0"/>
          <w:sz w:val="22"/>
          <w:szCs w:val="22"/>
          <w:u w:val="none"/>
        </w:rPr>
        <w:t>_(</w:t>
      </w:r>
      <w:proofErr w:type="gramEnd"/>
      <w:r w:rsidRPr="00994D0C">
        <w:rPr>
          <w:b w:val="0"/>
          <w:bCs w:val="0"/>
          <w:sz w:val="22"/>
          <w:szCs w:val="22"/>
          <w:u w:val="none"/>
        </w:rPr>
        <w:t xml:space="preserve">Previous year </w:t>
      </w:r>
      <w:proofErr w:type="spellStart"/>
      <w:r w:rsidRPr="00994D0C">
        <w:rPr>
          <w:b w:val="0"/>
          <w:bCs w:val="0"/>
          <w:sz w:val="22"/>
          <w:szCs w:val="22"/>
          <w:u w:val="none"/>
        </w:rPr>
        <w:t>Rs</w:t>
      </w:r>
      <w:proofErr w:type="spellEnd"/>
      <w:r w:rsidRPr="00994D0C">
        <w:rPr>
          <w:b w:val="0"/>
          <w:bCs w:val="0"/>
          <w:sz w:val="22"/>
          <w:szCs w:val="22"/>
          <w:u w:val="none"/>
        </w:rPr>
        <w:t>. Nil)</w:t>
      </w:r>
    </w:p>
    <w:p w:rsidR="00EF02D9" w:rsidRDefault="00EF02D9" w:rsidP="00EF02D9">
      <w:pPr>
        <w:pStyle w:val="BodyText"/>
        <w:ind w:left="360"/>
      </w:pPr>
    </w:p>
    <w:p w:rsidR="00EF02D9" w:rsidRDefault="00EF02D9" w:rsidP="00EF02D9">
      <w:pPr>
        <w:pStyle w:val="BodyText"/>
        <w:numPr>
          <w:ilvl w:val="0"/>
          <w:numId w:val="2"/>
        </w:numPr>
      </w:pPr>
      <w:r>
        <w:t>LEASE OBLIGATIONS :</w:t>
      </w:r>
    </w:p>
    <w:p w:rsidR="00EF02D9" w:rsidRPr="00701B84" w:rsidRDefault="00EF02D9" w:rsidP="00EF02D9">
      <w:pPr>
        <w:pStyle w:val="BodyText"/>
        <w:ind w:left="720"/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 xml:space="preserve">Future obligations for rentals under finance lease arrangements for plant and machinery amount </w:t>
      </w:r>
      <w:proofErr w:type="gramStart"/>
      <w:r w:rsidRPr="00701B84">
        <w:rPr>
          <w:b w:val="0"/>
          <w:bCs w:val="0"/>
          <w:sz w:val="22"/>
          <w:szCs w:val="22"/>
          <w:u w:val="none"/>
        </w:rPr>
        <w:t xml:space="preserve">to  </w:t>
      </w:r>
      <w:proofErr w:type="spellStart"/>
      <w:r w:rsidRPr="00701B84">
        <w:rPr>
          <w:b w:val="0"/>
          <w:bCs w:val="0"/>
          <w:sz w:val="22"/>
          <w:szCs w:val="22"/>
          <w:u w:val="none"/>
        </w:rPr>
        <w:t>Rs.Nil</w:t>
      </w:r>
      <w:proofErr w:type="spellEnd"/>
      <w:proofErr w:type="gramEnd"/>
      <w:r w:rsidRPr="00701B84">
        <w:rPr>
          <w:b w:val="0"/>
          <w:bCs w:val="0"/>
          <w:sz w:val="22"/>
          <w:szCs w:val="22"/>
          <w:u w:val="none"/>
        </w:rPr>
        <w:t xml:space="preserve">_(Previous year  </w:t>
      </w:r>
      <w:proofErr w:type="spellStart"/>
      <w:r w:rsidRPr="00701B84">
        <w:rPr>
          <w:b w:val="0"/>
          <w:bCs w:val="0"/>
          <w:sz w:val="22"/>
          <w:szCs w:val="22"/>
          <w:u w:val="none"/>
        </w:rPr>
        <w:t>Rs</w:t>
      </w:r>
      <w:proofErr w:type="spellEnd"/>
      <w:r w:rsidRPr="00701B84">
        <w:rPr>
          <w:b w:val="0"/>
          <w:bCs w:val="0"/>
          <w:sz w:val="22"/>
          <w:szCs w:val="22"/>
          <w:u w:val="none"/>
        </w:rPr>
        <w:t>. Nil )</w:t>
      </w:r>
    </w:p>
    <w:p w:rsidR="00EF02D9" w:rsidRDefault="00EF02D9" w:rsidP="00EF02D9">
      <w:pPr>
        <w:pStyle w:val="BodyText"/>
        <w:ind w:left="360"/>
      </w:pPr>
    </w:p>
    <w:p w:rsidR="00EF02D9" w:rsidRDefault="00EF02D9" w:rsidP="00EF02D9">
      <w:pPr>
        <w:pStyle w:val="BodyText"/>
        <w:numPr>
          <w:ilvl w:val="0"/>
          <w:numId w:val="2"/>
        </w:numPr>
      </w:pPr>
      <w:r>
        <w:t>CURRENT ASSETS, LOANS AND ADVANCES :</w:t>
      </w:r>
    </w:p>
    <w:p w:rsidR="00EF02D9" w:rsidRPr="00701B84" w:rsidRDefault="00EF02D9" w:rsidP="00EF02D9">
      <w:pPr>
        <w:pStyle w:val="BodyText"/>
        <w:ind w:left="720"/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>In the opinion of the Management, the current assets, loans and advances have a value on realization in the ordinary course of business, equal at least to the aggregate amount shown in the Balance Sheet.</w:t>
      </w:r>
    </w:p>
    <w:p w:rsidR="00EF02D9" w:rsidRDefault="00EF02D9" w:rsidP="00EF02D9">
      <w:pPr>
        <w:pStyle w:val="BodyText"/>
        <w:ind w:left="360"/>
      </w:pPr>
    </w:p>
    <w:p w:rsidR="00EF02D9" w:rsidRDefault="00EF02D9" w:rsidP="00EF02D9">
      <w:pPr>
        <w:pStyle w:val="BodyText"/>
        <w:ind w:left="360"/>
      </w:pPr>
    </w:p>
    <w:p w:rsidR="00EF02D9" w:rsidRDefault="00EF02D9" w:rsidP="00EF02D9">
      <w:pPr>
        <w:pStyle w:val="BodyText"/>
        <w:numPr>
          <w:ilvl w:val="0"/>
          <w:numId w:val="2"/>
        </w:num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-310515</wp:posOffset>
                </wp:positionV>
                <wp:extent cx="434340" cy="28448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2D9" w:rsidRDefault="00EF02D9" w:rsidP="00EF02D9">
                            <w:r>
                              <w:t>25</w:t>
                            </w:r>
                          </w:p>
                          <w:p w:rsidR="00EF02D9" w:rsidRDefault="00EF02D9" w:rsidP="00EF02D9"/>
                          <w:p w:rsidR="00EF02D9" w:rsidRDefault="00EF02D9" w:rsidP="00EF02D9"/>
                          <w:p w:rsidR="00EF02D9" w:rsidRDefault="00EF02D9" w:rsidP="00EF0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42.55pt;margin-top:-24.45pt;width:34.2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GagwIAABUFAAAOAAAAZHJzL2Uyb0RvYy54bWysVG1v2yAQ/j5p/wHxPfXLSBtbdaq1XaZJ&#10;3YvU7gcQwDEaBgYkdjftv+/ASZZ1mzRNcyQC3PFwd89zXF6NvUI74bw0usHFWY6R0MxwqTcN/viw&#10;mi0w8oFqTpXRosGPwuOr5fNnl4OtRWk6o7hwCEC0rwfb4C4EW2eZZ53oqT8zVmgwtsb1NMDSbTLu&#10;6ADovcrKPD/PBuO4dYYJ72H3djLiZcJvW8HC+7b1IiDVYIgtpNGlcR3HbHlJ642jtpNsHwb9hyh6&#10;KjVceoS6pYGirZO/QPWSOeNNG86Y6TPTtpKJlANkU+RPsrnvqBUpFyiOt8cy+f8Hy97tPjgkeYNL&#10;jDTtgaIHMQZ0bUZUxuoM1tfgdG/BLYywDSynTL29M+yTR9rcdFRvxEvnzNAJyiG6Ip7MTo5OOD6C&#10;rIe3hsM1dBtMAhpb18fSQTEQoANLj0dmYigMNskL+IGFgalcELJIzGW0Phy2zofXwvQoThrsgPgE&#10;Tnd3PsRgaH1wiXd5oyRfSaXSwm3WN8qhHQWRrNKX4n/ipnR01iYemxCnHYgR7oi2GG0i/WtVlCS/&#10;LqvZ6nxxMSMrMp9VF/lilhfVdXWek4rcrr7FAAtSd5Jzoe+kFgcBFuTvCN63wiSdJEE0NLial/OJ&#10;oT8mmafvd0n2MkA/Ktk3eHF0onXk9ZXmkDatA5Vqmmc/h5+qDDU4/KeqJBVE4icJhHE9JrmRg7jW&#10;hj+CLJwB2oBheEtg0hn3BaMB+rLB/vOWOoGReqNBWlVBohBCWpD5RQkLd2pZn1qoZgDV4IDRNL0J&#10;U/NvrZObDm6axKzNS5BjK5NUom6nqPYiht5LOe3fidjcp+vk9eM1W34HAAD//wMAUEsDBBQABgAI&#10;AAAAIQDKe1u+3wAAAAwBAAAPAAAAZHJzL2Rvd25yZXYueG1sTI/BboJAEIbvTfoOm2nSS6MLKorI&#10;YtombXrV+gADjEBkZwm7Cr59l1M9/jNf/vkm3Y+6FTfqbWNYQTgPQBAXpmy4UnD6/ZrFIKxDLrE1&#10;TAruZGGfPT+lmJRm4APdjq4SvoRtggpq57pESlvUpNHOTUfsd2fTa3Q+9pUsexx8uW7lIgjWUmPD&#10;/kKNHX3WVFyOV63g/DO8Rdsh/3anzWG1/sBmk5u7Uq8v4/sOhKPR/cMw6Xt1yLxTbq5cWtH6vIij&#10;0LMKZqt4C2JCltEyApFPoxBklsrHJ7I/AAAA//8DAFBLAQItABQABgAIAAAAIQC2gziS/gAAAOEB&#10;AAATAAAAAAAAAAAAAAAAAAAAAABbQ29udGVudF9UeXBlc10ueG1sUEsBAi0AFAAGAAgAAAAhADj9&#10;If/WAAAAlAEAAAsAAAAAAAAAAAAAAAAALwEAAF9yZWxzLy5yZWxzUEsBAi0AFAAGAAgAAAAhACUO&#10;UZqDAgAAFQUAAA4AAAAAAAAAAAAAAAAALgIAAGRycy9lMm9Eb2MueG1sUEsBAi0AFAAGAAgAAAAh&#10;AMp7W77fAAAADAEAAA8AAAAAAAAAAAAAAAAA3QQAAGRycy9kb3ducmV2LnhtbFBLBQYAAAAABAAE&#10;APMAAADpBQAAAAA=&#10;" stroked="f">
                <v:textbox>
                  <w:txbxContent>
                    <w:p w:rsidR="00EF02D9" w:rsidRDefault="00EF02D9" w:rsidP="00EF02D9">
                      <w:r>
                        <w:t>25</w:t>
                      </w:r>
                    </w:p>
                    <w:p w:rsidR="00EF02D9" w:rsidRDefault="00EF02D9" w:rsidP="00EF02D9"/>
                    <w:p w:rsidR="00EF02D9" w:rsidRDefault="00EF02D9" w:rsidP="00EF02D9"/>
                    <w:p w:rsidR="00EF02D9" w:rsidRDefault="00EF02D9" w:rsidP="00EF02D9"/>
                  </w:txbxContent>
                </v:textbox>
              </v:shape>
            </w:pict>
          </mc:Fallback>
        </mc:AlternateContent>
      </w:r>
      <w:r>
        <w:t>TAXATION :</w:t>
      </w:r>
    </w:p>
    <w:p w:rsidR="00EF02D9" w:rsidRPr="00701B84" w:rsidRDefault="00EF02D9" w:rsidP="00EF02D9">
      <w:pPr>
        <w:pStyle w:val="BodyText"/>
        <w:ind w:left="72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noProof/>
          <w:sz w:val="22"/>
          <w:szCs w:val="22"/>
          <w:u w:val="none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8393430</wp:posOffset>
                </wp:positionH>
                <wp:positionV relativeFrom="paragraph">
                  <wp:posOffset>-362585</wp:posOffset>
                </wp:positionV>
                <wp:extent cx="434340" cy="284480"/>
                <wp:effectExtent l="1905" t="317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2D9" w:rsidRDefault="00EF02D9" w:rsidP="00EF0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660.9pt;margin-top:-28.55pt;width:34.2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lVhwIAABUFAAAOAAAAZHJzL2Uyb0RvYy54bWysVG1v2yAQ/j5p/wHxPfXLnDa26lRru0yT&#10;uhep3Q8ggGM0m2NAYnfT/vsO3GTey4dpmiMR4I6Hu3ue4/Jq7DtykNYp0DXNzlJKpOYglN7V9OPD&#10;ZrGixHmmBetAy5o+Skev1s+fXQ6mkjm00AlpCYJoVw2mpq33pkoSx1vZM3cGRmo0NmB75nFpd4mw&#10;bED0vkvyND1PBrDCWODSOdy9nYx0HfGbRnL/vmmc9KSrKcbm42jjuA1jsr5k1c4y0yr+FAb7hyh6&#10;pjReeoK6ZZ6RvVW/QfWKW3DQ+DMOfQJNo7iMOWA2WfpLNvctMzLmgsVx5lQm9/9g+bvDB0uUQO4o&#10;0axHih7k6Mk1jCQL1RmMq9Dp3qCbH3E7eIZMnbkD/skRDTct0zv50loYWskERhdPJrOjE44LINvh&#10;LQi8hu09RKCxsX0AxGIQREeWHk/MhFA4bhYv8IcWjqZ8VRSryFzCquNhY51/LaEnYVJTi8RHcHa4&#10;cx7TQNejSwweOiU2quviwu62N50lB4Yi2cQvZI5H3Nyt08FZQzg2macdjBHvCLYQbST9a5nlRXqd&#10;l4vN+epiUWyK5aK8SFeLNCuvy/O0KIvbzbcQYFZUrRJC6jul5VGAWfF3BD+1wiSdKEEy1LRc5suJ&#10;oXn0bp5kGr8/Jdkrj/3Yqb6mq5MTqwKvr7TAtFnlmeqmefJz+LFkWIPjf6xKVEEgfpKAH7djlNvy&#10;KK4tiEeUhQWkDRnGtwQnLdgvlAzYlzV1n/fMSkq6NxqlVWZFEIKPi2J5kePCzi3buYVpjlA19ZRM&#10;0xs/Nf/eWLVr8aZJzBpeohwbFaUSdDtFhZmEBfZezOnpnQjNPV9Hrx+v2fo7AAAA//8DAFBLAwQU&#10;AAYACAAAACEAfAzLO+AAAAANAQAADwAAAGRycy9kb3ducmV2LnhtbEyPzU7DMBCE70i8g7VIXFDr&#10;/NCGhjgVIIG4tvQBNvE2iYjtKHab9O3ZnuhxdkYz3xbb2fTiTKPvnFUQLyMQZGunO9soOPx8Ll5A&#10;+IBWY+8sKbiQh215f1dgrt1kd3Teh0ZwifU5KmhDGHIpfd2SQb90A1n2jm40GFiOjdQjTlxueplE&#10;0Voa7CwvtDjQR0v17/5kFBy/p6fVZqq+wiHbPa/fscsqd1Hq8WF+ewURaA7/YbjiMzqUzFS5k9Ve&#10;9KzTJGb2oGCxymIQ10i6iRIQFZ/iJAVZFvL2i/IPAAD//wMAUEsBAi0AFAAGAAgAAAAhALaDOJL+&#10;AAAA4QEAABMAAAAAAAAAAAAAAAAAAAAAAFtDb250ZW50X1R5cGVzXS54bWxQSwECLQAUAAYACAAA&#10;ACEAOP0h/9YAAACUAQAACwAAAAAAAAAAAAAAAAAvAQAAX3JlbHMvLnJlbHNQSwECLQAUAAYACAAA&#10;ACEAzznpVYcCAAAVBQAADgAAAAAAAAAAAAAAAAAuAgAAZHJzL2Uyb0RvYy54bWxQSwECLQAUAAYA&#10;CAAAACEAfAzLO+AAAAANAQAADwAAAAAAAAAAAAAAAADhBAAAZHJzL2Rvd25yZXYueG1sUEsFBgAA&#10;AAAEAAQA8wAAAO4FAAAAAA==&#10;" stroked="f">
                <v:textbox>
                  <w:txbxContent>
                    <w:p w:rsidR="00EF02D9" w:rsidRDefault="00EF02D9" w:rsidP="00EF02D9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2"/>
          <w:szCs w:val="22"/>
          <w:u w:val="none"/>
        </w:rPr>
        <w:t>In view</w:t>
      </w:r>
      <w:r w:rsidRPr="00701B84">
        <w:rPr>
          <w:b w:val="0"/>
          <w:bCs w:val="0"/>
          <w:sz w:val="22"/>
          <w:szCs w:val="22"/>
          <w:u w:val="none"/>
        </w:rPr>
        <w:t xml:space="preserve"> of there being no taxable income under Income-tax Act 1961, no provision for Income tax has been considered necessary.</w:t>
      </w:r>
    </w:p>
    <w:p w:rsidR="00EF02D9" w:rsidRPr="00C40762" w:rsidRDefault="00EF02D9" w:rsidP="00EF02D9">
      <w:pPr>
        <w:pStyle w:val="BodyText"/>
        <w:ind w:left="360"/>
        <w:rPr>
          <w:b w:val="0"/>
          <w:bCs w:val="0"/>
          <w:u w:val="none"/>
        </w:rPr>
      </w:pPr>
    </w:p>
    <w:p w:rsidR="00EF02D9" w:rsidRDefault="00EF02D9" w:rsidP="00EF02D9">
      <w:pPr>
        <w:pStyle w:val="BodyText"/>
        <w:numPr>
          <w:ilvl w:val="0"/>
          <w:numId w:val="2"/>
        </w:numPr>
        <w:rPr>
          <w:b w:val="0"/>
          <w:bCs w:val="0"/>
          <w:u w:val="none"/>
        </w:rPr>
      </w:pPr>
      <w:r>
        <w:t xml:space="preserve">FOREIGN CURRENCY TRANSACTIONS :   </w:t>
      </w:r>
      <w:r>
        <w:rPr>
          <w:b w:val="0"/>
          <w:bCs w:val="0"/>
          <w:u w:val="none"/>
        </w:rPr>
        <w:t xml:space="preserve">                                                           </w:t>
      </w:r>
    </w:p>
    <w:p w:rsidR="00EF02D9" w:rsidRPr="00C40762" w:rsidRDefault="00EF02D9" w:rsidP="00EF02D9">
      <w:pPr>
        <w:pStyle w:val="BodyText"/>
        <w:ind w:left="360"/>
        <w:rPr>
          <w:b w:val="0"/>
          <w:bCs w:val="0"/>
          <w:u w:val="none"/>
        </w:rPr>
      </w:pPr>
    </w:p>
    <w:p w:rsidR="00EF02D9" w:rsidRDefault="00EF02D9" w:rsidP="00EF02D9">
      <w:pPr>
        <w:pStyle w:val="BodyText"/>
        <w:numPr>
          <w:ilvl w:val="1"/>
          <w:numId w:val="2"/>
        </w:numPr>
        <w:tabs>
          <w:tab w:val="clear" w:pos="720"/>
          <w:tab w:val="num" w:pos="360"/>
        </w:tabs>
        <w:ind w:left="1080"/>
        <w:rPr>
          <w:b w:val="0"/>
          <w:bCs w:val="0"/>
          <w:u w:val="none"/>
        </w:rPr>
      </w:pPr>
      <w:r>
        <w:rPr>
          <w:b w:val="0"/>
          <w:bCs w:val="0"/>
        </w:rPr>
        <w:t>Value of Imports Calculated on CIF Basis</w:t>
      </w:r>
      <w:r>
        <w:rPr>
          <w:b w:val="0"/>
          <w:bCs w:val="0"/>
          <w:u w:val="none"/>
        </w:rPr>
        <w:t xml:space="preserve"> :                                             </w:t>
      </w:r>
      <w:r>
        <w:t>Current Year</w:t>
      </w:r>
      <w:r>
        <w:rPr>
          <w:b w:val="0"/>
          <w:bCs w:val="0"/>
          <w:u w:val="none"/>
        </w:rPr>
        <w:t xml:space="preserve">     </w:t>
      </w:r>
      <w:r>
        <w:t>Previous Year</w:t>
      </w:r>
    </w:p>
    <w:p w:rsidR="00EF02D9" w:rsidRPr="00701B84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 xml:space="preserve">Purchase of finished goods                                                                                     -                        </w:t>
      </w:r>
      <w:r w:rsidRPr="00701B84">
        <w:rPr>
          <w:b w:val="0"/>
          <w:bCs w:val="0"/>
          <w:sz w:val="22"/>
          <w:szCs w:val="22"/>
          <w:u w:val="none"/>
        </w:rPr>
        <w:tab/>
        <w:t xml:space="preserve"> -</w:t>
      </w:r>
    </w:p>
    <w:p w:rsidR="00EF02D9" w:rsidRPr="00701B84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 xml:space="preserve">Raw materials and components (including in transit)                                            -                       </w:t>
      </w:r>
      <w:r w:rsidRPr="00701B84">
        <w:rPr>
          <w:b w:val="0"/>
          <w:bCs w:val="0"/>
          <w:sz w:val="22"/>
          <w:szCs w:val="22"/>
          <w:u w:val="none"/>
        </w:rPr>
        <w:tab/>
        <w:t xml:space="preserve"> -</w:t>
      </w:r>
    </w:p>
    <w:p w:rsidR="00EF02D9" w:rsidRPr="00701B84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 xml:space="preserve">Capital Goods                                                                                                         -                         </w:t>
      </w:r>
      <w:r w:rsidRPr="00701B84">
        <w:rPr>
          <w:b w:val="0"/>
          <w:bCs w:val="0"/>
          <w:sz w:val="22"/>
          <w:szCs w:val="22"/>
          <w:u w:val="none"/>
        </w:rPr>
        <w:tab/>
        <w:t xml:space="preserve"> -</w:t>
      </w:r>
    </w:p>
    <w:p w:rsidR="00EF02D9" w:rsidRPr="00701B84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>Stores, Spares and Consumables                                                                            -                            -</w:t>
      </w:r>
    </w:p>
    <w:p w:rsidR="00EF02D9" w:rsidRPr="00C40762" w:rsidRDefault="00EF02D9" w:rsidP="00EF02D9">
      <w:pPr>
        <w:pStyle w:val="BodyText"/>
        <w:ind w:left="360"/>
        <w:rPr>
          <w:b w:val="0"/>
          <w:bCs w:val="0"/>
          <w:u w:val="none"/>
        </w:rPr>
      </w:pPr>
    </w:p>
    <w:p w:rsidR="00EF02D9" w:rsidRDefault="00EF02D9" w:rsidP="00EF02D9">
      <w:pPr>
        <w:pStyle w:val="BodyText"/>
        <w:numPr>
          <w:ilvl w:val="1"/>
          <w:numId w:val="2"/>
        </w:numPr>
        <w:ind w:firstLine="0"/>
        <w:rPr>
          <w:b w:val="0"/>
          <w:bCs w:val="0"/>
          <w:u w:val="none"/>
        </w:rPr>
      </w:pPr>
      <w:r>
        <w:rPr>
          <w:b w:val="0"/>
          <w:bCs w:val="0"/>
        </w:rPr>
        <w:t>Expenditure in foreign currency</w:t>
      </w:r>
      <w:r>
        <w:rPr>
          <w:b w:val="0"/>
          <w:bCs w:val="0"/>
          <w:u w:val="none"/>
        </w:rPr>
        <w:t>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      </w:t>
      </w:r>
      <w:r w:rsidRPr="00F00DB1">
        <w:rPr>
          <w:b w:val="0"/>
          <w:bCs w:val="0"/>
          <w:sz w:val="22"/>
          <w:szCs w:val="22"/>
          <w:u w:val="none"/>
        </w:rPr>
        <w:t>Nil</w:t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 xml:space="preserve">            </w:t>
      </w:r>
      <w:proofErr w:type="spellStart"/>
      <w:r w:rsidRPr="00F00DB1">
        <w:rPr>
          <w:b w:val="0"/>
          <w:bCs w:val="0"/>
          <w:sz w:val="22"/>
          <w:szCs w:val="22"/>
          <w:u w:val="none"/>
        </w:rPr>
        <w:t>Nil</w:t>
      </w:r>
      <w:proofErr w:type="spellEnd"/>
      <w:r>
        <w:rPr>
          <w:b w:val="0"/>
          <w:bCs w:val="0"/>
          <w:u w:val="none"/>
        </w:rPr>
        <w:tab/>
      </w:r>
    </w:p>
    <w:p w:rsidR="00EF02D9" w:rsidRPr="00701B84" w:rsidRDefault="00EF02D9" w:rsidP="00EF02D9">
      <w:pPr>
        <w:pStyle w:val="BodyText"/>
        <w:numPr>
          <w:ilvl w:val="2"/>
          <w:numId w:val="1"/>
        </w:numPr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>Travel</w:t>
      </w:r>
    </w:p>
    <w:p w:rsidR="00EF02D9" w:rsidRPr="00701B84" w:rsidRDefault="00EF02D9" w:rsidP="00EF02D9">
      <w:pPr>
        <w:pStyle w:val="BodyText"/>
        <w:numPr>
          <w:ilvl w:val="2"/>
          <w:numId w:val="1"/>
        </w:numPr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>Remittances and interest payments to Financial Institutions/banks in foreign currency</w:t>
      </w:r>
    </w:p>
    <w:p w:rsidR="00EF02D9" w:rsidRPr="00701B84" w:rsidRDefault="00EF02D9" w:rsidP="00EF02D9">
      <w:pPr>
        <w:pStyle w:val="BodyText"/>
        <w:numPr>
          <w:ilvl w:val="2"/>
          <w:numId w:val="1"/>
        </w:numPr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>Other Expenditure:</w:t>
      </w:r>
    </w:p>
    <w:p w:rsidR="00EF02D9" w:rsidRPr="00701B84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>Commission on Sales</w:t>
      </w:r>
    </w:p>
    <w:p w:rsidR="00EF02D9" w:rsidRPr="00701B84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>Legal and Professional Expenses</w:t>
      </w:r>
    </w:p>
    <w:p w:rsidR="00EF02D9" w:rsidRPr="00701B84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>Miscellaneous Expenses</w:t>
      </w:r>
    </w:p>
    <w:p w:rsidR="00EF02D9" w:rsidRDefault="00EF02D9" w:rsidP="00EF02D9">
      <w:pPr>
        <w:pStyle w:val="BodyText"/>
        <w:numPr>
          <w:ilvl w:val="1"/>
          <w:numId w:val="2"/>
        </w:numPr>
        <w:ind w:firstLine="0"/>
        <w:rPr>
          <w:b w:val="0"/>
          <w:bCs w:val="0"/>
        </w:rPr>
      </w:pPr>
      <w:r>
        <w:rPr>
          <w:b w:val="0"/>
          <w:bCs w:val="0"/>
        </w:rPr>
        <w:t>Earnings:</w:t>
      </w:r>
    </w:p>
    <w:p w:rsidR="00EF02D9" w:rsidRPr="00701B84" w:rsidRDefault="00EF02D9" w:rsidP="00EF02D9">
      <w:pPr>
        <w:pStyle w:val="BodyText"/>
        <w:ind w:left="720"/>
        <w:rPr>
          <w:b w:val="0"/>
          <w:bCs w:val="0"/>
          <w:sz w:val="22"/>
          <w:szCs w:val="22"/>
          <w:u w:val="none"/>
        </w:rPr>
      </w:pPr>
      <w:r w:rsidRPr="00701B84">
        <w:rPr>
          <w:b w:val="0"/>
          <w:bCs w:val="0"/>
          <w:sz w:val="22"/>
          <w:szCs w:val="22"/>
          <w:u w:val="none"/>
        </w:rPr>
        <w:t xml:space="preserve">           </w:t>
      </w:r>
      <w:r>
        <w:rPr>
          <w:b w:val="0"/>
          <w:bCs w:val="0"/>
          <w:sz w:val="22"/>
          <w:szCs w:val="22"/>
          <w:u w:val="none"/>
        </w:rPr>
        <w:t xml:space="preserve">  </w:t>
      </w:r>
      <w:r w:rsidRPr="00701B84">
        <w:rPr>
          <w:b w:val="0"/>
          <w:bCs w:val="0"/>
          <w:sz w:val="22"/>
          <w:szCs w:val="22"/>
          <w:u w:val="none"/>
        </w:rPr>
        <w:t>Value of Exports on FOB basis</w:t>
      </w:r>
      <w:r w:rsidRPr="00701B84">
        <w:rPr>
          <w:b w:val="0"/>
          <w:bCs w:val="0"/>
          <w:sz w:val="22"/>
          <w:szCs w:val="22"/>
          <w:u w:val="none"/>
        </w:rPr>
        <w:tab/>
      </w:r>
      <w:r w:rsidRPr="00701B84">
        <w:rPr>
          <w:b w:val="0"/>
          <w:bCs w:val="0"/>
          <w:sz w:val="22"/>
          <w:szCs w:val="22"/>
          <w:u w:val="none"/>
        </w:rPr>
        <w:tab/>
      </w:r>
      <w:r w:rsidRPr="00701B84">
        <w:rPr>
          <w:b w:val="0"/>
          <w:bCs w:val="0"/>
          <w:sz w:val="22"/>
          <w:szCs w:val="22"/>
          <w:u w:val="none"/>
        </w:rPr>
        <w:tab/>
      </w:r>
      <w:r w:rsidRPr="00701B84">
        <w:rPr>
          <w:b w:val="0"/>
          <w:bCs w:val="0"/>
          <w:sz w:val="22"/>
          <w:szCs w:val="22"/>
          <w:u w:val="none"/>
        </w:rPr>
        <w:tab/>
      </w:r>
      <w:r w:rsidRPr="00701B84">
        <w:rPr>
          <w:b w:val="0"/>
          <w:bCs w:val="0"/>
          <w:sz w:val="22"/>
          <w:szCs w:val="22"/>
          <w:u w:val="none"/>
        </w:rPr>
        <w:tab/>
      </w:r>
      <w:r w:rsidRPr="00701B84">
        <w:rPr>
          <w:b w:val="0"/>
          <w:bCs w:val="0"/>
          <w:sz w:val="22"/>
          <w:szCs w:val="22"/>
          <w:u w:val="none"/>
        </w:rPr>
        <w:tab/>
        <w:t xml:space="preserve">   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701B84">
        <w:rPr>
          <w:b w:val="0"/>
          <w:bCs w:val="0"/>
          <w:sz w:val="22"/>
          <w:szCs w:val="22"/>
          <w:u w:val="none"/>
        </w:rPr>
        <w:t xml:space="preserve">    Nil</w:t>
      </w:r>
      <w:r w:rsidRPr="00701B84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 xml:space="preserve">             </w:t>
      </w:r>
      <w:r w:rsidRPr="00701B84">
        <w:rPr>
          <w:b w:val="0"/>
          <w:bCs w:val="0"/>
          <w:sz w:val="22"/>
          <w:szCs w:val="22"/>
          <w:u w:val="none"/>
        </w:rPr>
        <w:tab/>
      </w:r>
      <w:proofErr w:type="spellStart"/>
      <w:r w:rsidRPr="00701B84">
        <w:rPr>
          <w:b w:val="0"/>
          <w:bCs w:val="0"/>
          <w:sz w:val="22"/>
          <w:szCs w:val="22"/>
          <w:u w:val="none"/>
        </w:rPr>
        <w:t>Nil</w:t>
      </w:r>
      <w:proofErr w:type="spellEnd"/>
    </w:p>
    <w:p w:rsidR="00EF02D9" w:rsidRPr="00C40762" w:rsidRDefault="00EF02D9" w:rsidP="00EF02D9">
      <w:pPr>
        <w:pStyle w:val="BodyText"/>
        <w:ind w:left="360"/>
        <w:rPr>
          <w:b w:val="0"/>
          <w:bCs w:val="0"/>
          <w:u w:val="none"/>
        </w:rPr>
      </w:pPr>
    </w:p>
    <w:p w:rsidR="00EF02D9" w:rsidRPr="00D813D9" w:rsidRDefault="00EF02D9" w:rsidP="00EF02D9">
      <w:pPr>
        <w:pStyle w:val="BodyText"/>
        <w:numPr>
          <w:ilvl w:val="0"/>
          <w:numId w:val="2"/>
        </w:numPr>
        <w:rPr>
          <w:bCs w:val="0"/>
          <w:u w:val="none"/>
        </w:rPr>
      </w:pPr>
      <w:r w:rsidRPr="00D813D9">
        <w:rPr>
          <w:bCs w:val="0"/>
        </w:rPr>
        <w:t>R</w:t>
      </w:r>
      <w:r>
        <w:rPr>
          <w:bCs w:val="0"/>
        </w:rPr>
        <w:t>EMUNERATION TO AUDITORS</w:t>
      </w:r>
      <w:r w:rsidRPr="00D813D9">
        <w:rPr>
          <w:bCs w:val="0"/>
          <w:u w:val="none"/>
        </w:rPr>
        <w:t>:</w:t>
      </w:r>
    </w:p>
    <w:p w:rsidR="00EF02D9" w:rsidRPr="00F00DB1" w:rsidRDefault="00EF02D9" w:rsidP="00EF02D9">
      <w:pPr>
        <w:pStyle w:val="BodyText"/>
        <w:ind w:left="720"/>
        <w:rPr>
          <w:b w:val="0"/>
          <w:bCs w:val="0"/>
          <w:sz w:val="22"/>
          <w:szCs w:val="22"/>
          <w:u w:val="none"/>
        </w:rPr>
      </w:pPr>
      <w:r w:rsidRPr="00F00DB1">
        <w:rPr>
          <w:b w:val="0"/>
          <w:bCs w:val="0"/>
          <w:sz w:val="22"/>
          <w:szCs w:val="22"/>
          <w:u w:val="none"/>
        </w:rPr>
        <w:t>As Auditors for</w:t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  <w:t xml:space="preserve"> </w:t>
      </w:r>
      <w:r>
        <w:rPr>
          <w:b w:val="0"/>
          <w:bCs w:val="0"/>
          <w:sz w:val="22"/>
          <w:szCs w:val="22"/>
          <w:u w:val="none"/>
        </w:rPr>
        <w:t xml:space="preserve">      </w:t>
      </w:r>
      <w:r w:rsidRPr="00F00DB1">
        <w:rPr>
          <w:b w:val="0"/>
          <w:bCs w:val="0"/>
          <w:sz w:val="22"/>
          <w:szCs w:val="22"/>
          <w:u w:val="none"/>
        </w:rPr>
        <w:t xml:space="preserve">   </w:t>
      </w:r>
      <w:r w:rsidRPr="00F00DB1">
        <w:rPr>
          <w:b w:val="0"/>
          <w:bCs w:val="0"/>
          <w:sz w:val="22"/>
          <w:szCs w:val="22"/>
        </w:rPr>
        <w:t>Current Year</w:t>
      </w:r>
      <w:r w:rsidRPr="00F00DB1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 xml:space="preserve">      </w:t>
      </w:r>
      <w:r w:rsidRPr="00F00DB1">
        <w:rPr>
          <w:b w:val="0"/>
          <w:bCs w:val="0"/>
          <w:sz w:val="22"/>
          <w:szCs w:val="22"/>
        </w:rPr>
        <w:t>Previous Year</w:t>
      </w:r>
    </w:p>
    <w:p w:rsidR="00EF02D9" w:rsidRPr="00F00DB1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F00DB1">
        <w:rPr>
          <w:b w:val="0"/>
          <w:bCs w:val="0"/>
          <w:sz w:val="22"/>
          <w:szCs w:val="22"/>
          <w:u w:val="none"/>
        </w:rPr>
        <w:t xml:space="preserve">Taxation matters                                                                                                0.00                              </w:t>
      </w:r>
      <w:r>
        <w:rPr>
          <w:b w:val="0"/>
          <w:bCs w:val="0"/>
          <w:sz w:val="22"/>
          <w:szCs w:val="22"/>
          <w:u w:val="none"/>
        </w:rPr>
        <w:t xml:space="preserve">   </w:t>
      </w:r>
      <w:r w:rsidRPr="00F00DB1">
        <w:rPr>
          <w:b w:val="0"/>
          <w:bCs w:val="0"/>
          <w:sz w:val="22"/>
          <w:szCs w:val="22"/>
          <w:u w:val="none"/>
        </w:rPr>
        <w:t xml:space="preserve"> 0.00</w:t>
      </w:r>
    </w:p>
    <w:p w:rsidR="00EF02D9" w:rsidRPr="00F00DB1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F00DB1">
        <w:rPr>
          <w:b w:val="0"/>
          <w:bCs w:val="0"/>
          <w:sz w:val="22"/>
          <w:szCs w:val="22"/>
          <w:u w:val="none"/>
        </w:rPr>
        <w:t>Management services</w:t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  <w:t xml:space="preserve">            </w:t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 xml:space="preserve">  </w:t>
      </w:r>
      <w:r w:rsidRPr="00F00DB1">
        <w:rPr>
          <w:b w:val="0"/>
          <w:bCs w:val="0"/>
          <w:sz w:val="22"/>
          <w:szCs w:val="22"/>
          <w:u w:val="none"/>
        </w:rPr>
        <w:t xml:space="preserve">   0.00                              </w:t>
      </w:r>
      <w:r>
        <w:rPr>
          <w:b w:val="0"/>
          <w:bCs w:val="0"/>
          <w:sz w:val="22"/>
          <w:szCs w:val="22"/>
          <w:u w:val="none"/>
        </w:rPr>
        <w:t xml:space="preserve">   </w:t>
      </w:r>
      <w:r w:rsidRPr="00F00DB1">
        <w:rPr>
          <w:b w:val="0"/>
          <w:bCs w:val="0"/>
          <w:sz w:val="22"/>
          <w:szCs w:val="22"/>
          <w:u w:val="none"/>
        </w:rPr>
        <w:t xml:space="preserve"> 0.00</w:t>
      </w:r>
    </w:p>
    <w:p w:rsidR="00EF02D9" w:rsidRPr="00F00DB1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F00DB1">
        <w:rPr>
          <w:b w:val="0"/>
          <w:bCs w:val="0"/>
          <w:sz w:val="22"/>
          <w:szCs w:val="22"/>
          <w:u w:val="none"/>
        </w:rPr>
        <w:t xml:space="preserve">Certification </w:t>
      </w:r>
      <w:r>
        <w:rPr>
          <w:b w:val="0"/>
          <w:bCs w:val="0"/>
          <w:sz w:val="22"/>
          <w:szCs w:val="22"/>
          <w:u w:val="none"/>
        </w:rPr>
        <w:t>by C.A.G.</w:t>
      </w:r>
      <w:r w:rsidRPr="00F00DB1">
        <w:rPr>
          <w:b w:val="0"/>
          <w:bCs w:val="0"/>
          <w:sz w:val="22"/>
          <w:szCs w:val="22"/>
          <w:u w:val="none"/>
        </w:rPr>
        <w:t xml:space="preserve">                           </w:t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 xml:space="preserve">             </w:t>
      </w:r>
      <w:proofErr w:type="spellStart"/>
      <w:r w:rsidRPr="00F00DB1">
        <w:rPr>
          <w:b w:val="0"/>
          <w:bCs w:val="0"/>
          <w:sz w:val="22"/>
          <w:szCs w:val="22"/>
          <w:u w:val="none"/>
        </w:rPr>
        <w:t>Rs</w:t>
      </w:r>
      <w:proofErr w:type="spellEnd"/>
      <w:r w:rsidRPr="00F00DB1">
        <w:rPr>
          <w:b w:val="0"/>
          <w:bCs w:val="0"/>
          <w:sz w:val="22"/>
          <w:szCs w:val="22"/>
          <w:u w:val="none"/>
        </w:rPr>
        <w:t xml:space="preserve">  </w:t>
      </w:r>
      <w:r>
        <w:rPr>
          <w:b w:val="0"/>
          <w:bCs w:val="0"/>
          <w:sz w:val="22"/>
          <w:szCs w:val="22"/>
          <w:u w:val="none"/>
        </w:rPr>
        <w:t>1,</w:t>
      </w:r>
      <w:r w:rsidR="00571F6F">
        <w:rPr>
          <w:b w:val="0"/>
          <w:bCs w:val="0"/>
          <w:sz w:val="22"/>
          <w:szCs w:val="22"/>
          <w:u w:val="none"/>
        </w:rPr>
        <w:t>67</w:t>
      </w:r>
      <w:r>
        <w:rPr>
          <w:b w:val="0"/>
          <w:bCs w:val="0"/>
          <w:sz w:val="22"/>
          <w:szCs w:val="22"/>
          <w:u w:val="none"/>
        </w:rPr>
        <w:t>,</w:t>
      </w:r>
      <w:r w:rsidR="00571F6F">
        <w:rPr>
          <w:b w:val="0"/>
          <w:bCs w:val="0"/>
          <w:sz w:val="22"/>
          <w:szCs w:val="22"/>
          <w:u w:val="none"/>
        </w:rPr>
        <w:t>180</w:t>
      </w:r>
      <w:r>
        <w:rPr>
          <w:b w:val="0"/>
          <w:bCs w:val="0"/>
          <w:sz w:val="22"/>
          <w:szCs w:val="22"/>
          <w:u w:val="none"/>
        </w:rPr>
        <w:t>.</w:t>
      </w:r>
      <w:r w:rsidRPr="00F00DB1">
        <w:rPr>
          <w:b w:val="0"/>
          <w:bCs w:val="0"/>
          <w:sz w:val="22"/>
          <w:szCs w:val="22"/>
          <w:u w:val="none"/>
        </w:rPr>
        <w:t>00</w:t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  <w:t xml:space="preserve">   Rs.</w:t>
      </w:r>
      <w:r w:rsidR="00571F6F">
        <w:rPr>
          <w:b w:val="0"/>
          <w:bCs w:val="0"/>
          <w:sz w:val="22"/>
          <w:szCs w:val="22"/>
          <w:u w:val="none"/>
        </w:rPr>
        <w:t>1</w:t>
      </w:r>
      <w:r>
        <w:rPr>
          <w:b w:val="0"/>
          <w:bCs w:val="0"/>
          <w:sz w:val="22"/>
          <w:szCs w:val="22"/>
          <w:u w:val="none"/>
        </w:rPr>
        <w:t>,</w:t>
      </w:r>
      <w:r w:rsidR="00571F6F">
        <w:rPr>
          <w:b w:val="0"/>
          <w:bCs w:val="0"/>
          <w:sz w:val="22"/>
          <w:szCs w:val="22"/>
          <w:u w:val="none"/>
        </w:rPr>
        <w:t>47</w:t>
      </w:r>
      <w:r>
        <w:rPr>
          <w:b w:val="0"/>
          <w:bCs w:val="0"/>
          <w:sz w:val="22"/>
          <w:szCs w:val="22"/>
          <w:u w:val="none"/>
        </w:rPr>
        <w:t>,</w:t>
      </w:r>
      <w:r w:rsidR="00571F6F">
        <w:rPr>
          <w:b w:val="0"/>
          <w:bCs w:val="0"/>
          <w:sz w:val="22"/>
          <w:szCs w:val="22"/>
          <w:u w:val="none"/>
        </w:rPr>
        <w:t>2</w:t>
      </w:r>
      <w:r>
        <w:rPr>
          <w:b w:val="0"/>
          <w:bCs w:val="0"/>
          <w:sz w:val="22"/>
          <w:szCs w:val="22"/>
          <w:u w:val="none"/>
        </w:rPr>
        <w:t>55</w:t>
      </w:r>
      <w:r w:rsidRPr="00F00DB1">
        <w:rPr>
          <w:b w:val="0"/>
          <w:bCs w:val="0"/>
          <w:sz w:val="22"/>
          <w:szCs w:val="22"/>
          <w:u w:val="none"/>
        </w:rPr>
        <w:t>.00</w:t>
      </w:r>
      <w:r w:rsidRPr="00F00DB1">
        <w:rPr>
          <w:b w:val="0"/>
          <w:bCs w:val="0"/>
          <w:sz w:val="22"/>
          <w:szCs w:val="22"/>
          <w:u w:val="none"/>
        </w:rPr>
        <w:tab/>
      </w:r>
    </w:p>
    <w:p w:rsidR="00EF02D9" w:rsidRPr="00F00DB1" w:rsidRDefault="00EF02D9" w:rsidP="00EF02D9">
      <w:pPr>
        <w:pStyle w:val="BodyText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00F00DB1">
        <w:rPr>
          <w:b w:val="0"/>
          <w:bCs w:val="0"/>
          <w:sz w:val="22"/>
          <w:szCs w:val="22"/>
          <w:u w:val="none"/>
        </w:rPr>
        <w:t>Others</w:t>
      </w:r>
      <w:r>
        <w:rPr>
          <w:b w:val="0"/>
          <w:bCs w:val="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 xml:space="preserve">                  0.00                                  0.00       </w:t>
      </w:r>
      <w:r w:rsidRPr="00F00DB1">
        <w:rPr>
          <w:b w:val="0"/>
          <w:bCs w:val="0"/>
          <w:sz w:val="22"/>
          <w:szCs w:val="22"/>
          <w:u w:val="none"/>
        </w:rPr>
        <w:t xml:space="preserve">        </w:t>
      </w:r>
      <w:r>
        <w:rPr>
          <w:b w:val="0"/>
          <w:bCs w:val="0"/>
          <w:sz w:val="22"/>
          <w:szCs w:val="22"/>
          <w:u w:val="none"/>
        </w:rPr>
        <w:t xml:space="preserve">  </w:t>
      </w:r>
      <w:r w:rsidRPr="00F00DB1">
        <w:rPr>
          <w:b w:val="0"/>
          <w:bCs w:val="0"/>
          <w:sz w:val="22"/>
          <w:szCs w:val="22"/>
          <w:u w:val="none"/>
        </w:rPr>
        <w:tab/>
      </w:r>
      <w:r w:rsidRPr="00F00DB1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 xml:space="preserve">               </w:t>
      </w:r>
    </w:p>
    <w:p w:rsidR="00EF02D9" w:rsidRDefault="00EF02D9" w:rsidP="00EF02D9">
      <w:pPr>
        <w:pStyle w:val="BodyText"/>
        <w:ind w:left="360"/>
        <w:rPr>
          <w:b w:val="0"/>
          <w:bCs w:val="0"/>
          <w:u w:val="none"/>
        </w:rPr>
      </w:pPr>
    </w:p>
    <w:p w:rsidR="00EF02D9" w:rsidRPr="00F00DB1" w:rsidRDefault="00EF02D9" w:rsidP="00EF02D9">
      <w:pPr>
        <w:pStyle w:val="BodyText"/>
        <w:numPr>
          <w:ilvl w:val="0"/>
          <w:numId w:val="2"/>
        </w:numPr>
        <w:rPr>
          <w:b w:val="0"/>
          <w:bCs w:val="0"/>
          <w:sz w:val="22"/>
          <w:szCs w:val="22"/>
          <w:u w:val="none"/>
        </w:rPr>
      </w:pPr>
      <w:r w:rsidRPr="00F00DB1">
        <w:rPr>
          <w:b w:val="0"/>
          <w:bCs w:val="0"/>
          <w:sz w:val="22"/>
          <w:szCs w:val="22"/>
          <w:u w:val="none"/>
        </w:rPr>
        <w:t>Corresponding figures for the previous year have been regrouped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F00DB1">
        <w:rPr>
          <w:b w:val="0"/>
          <w:bCs w:val="0"/>
          <w:sz w:val="22"/>
          <w:szCs w:val="22"/>
          <w:u w:val="none"/>
        </w:rPr>
        <w:t>/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F00DB1">
        <w:rPr>
          <w:b w:val="0"/>
          <w:bCs w:val="0"/>
          <w:sz w:val="22"/>
          <w:szCs w:val="22"/>
          <w:u w:val="none"/>
        </w:rPr>
        <w:t>rearranged, wherever necessary.</w:t>
      </w:r>
    </w:p>
    <w:p w:rsidR="00EF02D9" w:rsidRDefault="00EF02D9" w:rsidP="00EF02D9">
      <w:pPr>
        <w:pStyle w:val="BodyText"/>
        <w:ind w:left="360"/>
        <w:rPr>
          <w:b w:val="0"/>
          <w:bCs w:val="0"/>
          <w:u w:val="none"/>
        </w:rPr>
      </w:pPr>
    </w:p>
    <w:p w:rsidR="00EF02D9" w:rsidRDefault="00EF02D9" w:rsidP="00951884">
      <w:pPr>
        <w:pStyle w:val="BodyText"/>
        <w:numPr>
          <w:ilvl w:val="0"/>
          <w:numId w:val="2"/>
        </w:numPr>
        <w:tabs>
          <w:tab w:val="clear" w:pos="644"/>
          <w:tab w:val="num" w:pos="284"/>
        </w:tabs>
        <w:ind w:left="360"/>
      </w:pPr>
      <w:r w:rsidRPr="00896241">
        <w:rPr>
          <w:sz w:val="22"/>
          <w:szCs w:val="22"/>
          <w:u w:val="none"/>
        </w:rPr>
        <w:t>Schedules 1 to 25 are annexed to and form an integral part of the Balance Sheet as at 31</w:t>
      </w:r>
      <w:r w:rsidRPr="00896241">
        <w:rPr>
          <w:sz w:val="22"/>
          <w:szCs w:val="22"/>
          <w:u w:val="none"/>
          <w:vertAlign w:val="superscript"/>
        </w:rPr>
        <w:t>st</w:t>
      </w:r>
      <w:r w:rsidRPr="00896241">
        <w:rPr>
          <w:sz w:val="22"/>
          <w:szCs w:val="22"/>
          <w:u w:val="none"/>
        </w:rPr>
        <w:t xml:space="preserve"> March 202</w:t>
      </w:r>
      <w:r w:rsidR="00AF0FD3" w:rsidRPr="00896241">
        <w:rPr>
          <w:sz w:val="22"/>
          <w:szCs w:val="22"/>
          <w:u w:val="none"/>
        </w:rPr>
        <w:t>1</w:t>
      </w:r>
      <w:r w:rsidRPr="00896241">
        <w:rPr>
          <w:sz w:val="22"/>
          <w:szCs w:val="22"/>
          <w:u w:val="none"/>
        </w:rPr>
        <w:t xml:space="preserve"> and the Income and Expenditure Account for the year ended on that date.</w:t>
      </w:r>
    </w:p>
    <w:p w:rsidR="00EF02D9" w:rsidRDefault="00EF02D9" w:rsidP="00EF02D9">
      <w:pPr>
        <w:rPr>
          <w:b/>
          <w:bCs/>
          <w:u w:val="single"/>
        </w:rPr>
      </w:pPr>
    </w:p>
    <w:p w:rsidR="006C18D9" w:rsidRDefault="00EF02D9" w:rsidP="008D7D0C">
      <w:pPr>
        <w:ind w:left="2160"/>
      </w:pPr>
      <w:r>
        <w:rPr>
          <w:b/>
        </w:rPr>
        <w:t xml:space="preserve"> </w:t>
      </w:r>
      <w:r w:rsidRPr="005A5CCC">
        <w:rPr>
          <w:b/>
        </w:rPr>
        <w:t>Accounts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0340">
        <w:rPr>
          <w:b/>
        </w:rPr>
        <w:tab/>
        <w:t xml:space="preserve">  </w:t>
      </w:r>
      <w:r>
        <w:rPr>
          <w:b/>
        </w:rPr>
        <w:t xml:space="preserve">        </w:t>
      </w:r>
      <w:r w:rsidRPr="00360340">
        <w:rPr>
          <w:b/>
        </w:rPr>
        <w:t xml:space="preserve">Chief Executive Officer </w:t>
      </w:r>
    </w:p>
    <w:sectPr w:rsidR="006C18D9" w:rsidSect="00C71F11">
      <w:footerReference w:type="even" r:id="rId8"/>
      <w:footerReference w:type="default" r:id="rId9"/>
      <w:pgSz w:w="16839" w:h="11907" w:orient="landscape" w:code="9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FC" w:rsidRDefault="005727FC">
      <w:r>
        <w:separator/>
      </w:r>
    </w:p>
  </w:endnote>
  <w:endnote w:type="continuationSeparator" w:id="0">
    <w:p w:rsidR="005727FC" w:rsidRDefault="0057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6" w:rsidRDefault="008D7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786" w:rsidRDefault="005727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6" w:rsidRDefault="00572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FC" w:rsidRDefault="005727FC">
      <w:r>
        <w:separator/>
      </w:r>
    </w:p>
  </w:footnote>
  <w:footnote w:type="continuationSeparator" w:id="0">
    <w:p w:rsidR="005727FC" w:rsidRDefault="0057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18E"/>
    <w:multiLevelType w:val="multilevel"/>
    <w:tmpl w:val="36920F4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30BE2806"/>
    <w:multiLevelType w:val="multilevel"/>
    <w:tmpl w:val="46BAC50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2">
    <w:nsid w:val="39A9442C"/>
    <w:multiLevelType w:val="multilevel"/>
    <w:tmpl w:val="B0203C2E"/>
    <w:lvl w:ilvl="0">
      <w:start w:val="9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8E83BAD"/>
    <w:multiLevelType w:val="hybridMultilevel"/>
    <w:tmpl w:val="67628E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2AD9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2" w:tplc="B39266C8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25C9F"/>
    <w:multiLevelType w:val="multilevel"/>
    <w:tmpl w:val="0B9A8E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61122E69"/>
    <w:multiLevelType w:val="multilevel"/>
    <w:tmpl w:val="B9B4A690"/>
    <w:lvl w:ilvl="0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440"/>
      </w:pPr>
      <w:rPr>
        <w:rFonts w:hint="default"/>
      </w:rPr>
    </w:lvl>
  </w:abstractNum>
  <w:abstractNum w:abstractNumId="6">
    <w:nsid w:val="672305F6"/>
    <w:multiLevelType w:val="hybridMultilevel"/>
    <w:tmpl w:val="B78045B6"/>
    <w:lvl w:ilvl="0" w:tplc="EDE87A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424C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C290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96C01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F5199"/>
    <w:multiLevelType w:val="multilevel"/>
    <w:tmpl w:val="4D3A36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D9"/>
    <w:rsid w:val="000D6D96"/>
    <w:rsid w:val="00166E97"/>
    <w:rsid w:val="00571F6F"/>
    <w:rsid w:val="005727FC"/>
    <w:rsid w:val="005E3724"/>
    <w:rsid w:val="00615F92"/>
    <w:rsid w:val="00896241"/>
    <w:rsid w:val="008D7D0C"/>
    <w:rsid w:val="00951884"/>
    <w:rsid w:val="00AF0FD3"/>
    <w:rsid w:val="00B9502F"/>
    <w:rsid w:val="00C71F11"/>
    <w:rsid w:val="00E23EF2"/>
    <w:rsid w:val="00E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02D9"/>
    <w:pPr>
      <w:keepNext/>
      <w:numPr>
        <w:numId w:val="5"/>
      </w:numPr>
      <w:tabs>
        <w:tab w:val="clear" w:pos="360"/>
        <w:tab w:val="num" w:pos="720"/>
      </w:tabs>
      <w:ind w:firstLine="0"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2D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EF02D9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EF02D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Footer">
    <w:name w:val="footer"/>
    <w:basedOn w:val="Normal"/>
    <w:link w:val="FooterChar"/>
    <w:rsid w:val="00EF0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02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F02D9"/>
  </w:style>
  <w:style w:type="paragraph" w:styleId="BodyTextIndent2">
    <w:name w:val="Body Text Indent 2"/>
    <w:basedOn w:val="Normal"/>
    <w:link w:val="BodyTextIndent2Char"/>
    <w:rsid w:val="00EF02D9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EF02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EF02D9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EF02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EF02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02D9"/>
    <w:pPr>
      <w:keepNext/>
      <w:numPr>
        <w:numId w:val="5"/>
      </w:numPr>
      <w:tabs>
        <w:tab w:val="clear" w:pos="360"/>
        <w:tab w:val="num" w:pos="720"/>
      </w:tabs>
      <w:ind w:firstLine="0"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2D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EF02D9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EF02D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Footer">
    <w:name w:val="footer"/>
    <w:basedOn w:val="Normal"/>
    <w:link w:val="FooterChar"/>
    <w:rsid w:val="00EF0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02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F02D9"/>
  </w:style>
  <w:style w:type="paragraph" w:styleId="BodyTextIndent2">
    <w:name w:val="Body Text Indent 2"/>
    <w:basedOn w:val="Normal"/>
    <w:link w:val="BodyTextIndent2Char"/>
    <w:rsid w:val="00EF02D9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EF02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EF02D9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EF02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EF02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Aadi Sachdeva</cp:lastModifiedBy>
  <cp:revision>11</cp:revision>
  <cp:lastPrinted>2021-06-15T10:12:00Z</cp:lastPrinted>
  <dcterms:created xsi:type="dcterms:W3CDTF">2021-06-15T10:06:00Z</dcterms:created>
  <dcterms:modified xsi:type="dcterms:W3CDTF">2021-06-15T14:57:00Z</dcterms:modified>
</cp:coreProperties>
</file>